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A32" w:rsidRPr="00AA7BCD" w:rsidRDefault="000D50BF" w:rsidP="009D5A32">
      <w:pPr>
        <w:spacing w:after="0"/>
        <w:ind w:left="567" w:hanging="567"/>
        <w:jc w:val="right"/>
        <w:rPr>
          <w:rFonts w:ascii="Times New Roman" w:hAnsi="Times New Roman"/>
          <w:bCs/>
          <w:snapToGrid w:val="0"/>
        </w:rPr>
      </w:pPr>
      <w:r>
        <w:rPr>
          <w:rFonts w:ascii="Times New Roman" w:hAnsi="Times New Roman"/>
          <w:bCs/>
          <w:snapToGrid w:val="0"/>
        </w:rPr>
        <w:t xml:space="preserve"> </w:t>
      </w:r>
    </w:p>
    <w:p w:rsidR="009D5A32" w:rsidRDefault="009D5A32" w:rsidP="009D5A32">
      <w:pPr>
        <w:spacing w:after="0"/>
        <w:ind w:left="567" w:hanging="567"/>
        <w:jc w:val="center"/>
        <w:rPr>
          <w:rFonts w:ascii="Times New Roman" w:hAnsi="Times New Roman"/>
          <w:bCs/>
          <w:snapToGrid w:val="0"/>
          <w:color w:val="00FF00"/>
        </w:rPr>
      </w:pPr>
    </w:p>
    <w:p w:rsidR="000D50BF" w:rsidRPr="000D50BF" w:rsidRDefault="000D50BF" w:rsidP="000D50BF">
      <w:pPr>
        <w:spacing w:after="0" w:line="240" w:lineRule="auto"/>
        <w:jc w:val="center"/>
        <w:rPr>
          <w:rFonts w:ascii="Traktir" w:eastAsia="Times New Roman" w:hAnsi="Traktir" w:cs="Traktir"/>
          <w:snapToGrid w:val="0"/>
          <w:color w:val="00FF00"/>
          <w:sz w:val="28"/>
          <w:szCs w:val="24"/>
          <w:lang w:val="ru-RU"/>
        </w:rPr>
      </w:pPr>
      <w:r w:rsidRPr="000D50BF">
        <w:rPr>
          <w:rFonts w:ascii="Traktir" w:eastAsia="Times New Roman" w:hAnsi="Traktir" w:cs="Traktir"/>
          <w:noProof/>
          <w:color w:val="00FF00"/>
          <w:sz w:val="28"/>
          <w:szCs w:val="24"/>
          <w:lang w:eastAsia="uk-UA"/>
        </w:rPr>
        <w:drawing>
          <wp:inline distT="0" distB="0" distL="0" distR="0" wp14:anchorId="4085816E" wp14:editId="5CC33173">
            <wp:extent cx="564515" cy="7715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4515" cy="771525"/>
                    </a:xfrm>
                    <a:prstGeom prst="rect">
                      <a:avLst/>
                    </a:prstGeom>
                    <a:noFill/>
                    <a:ln>
                      <a:noFill/>
                    </a:ln>
                  </pic:spPr>
                </pic:pic>
              </a:graphicData>
            </a:graphic>
          </wp:inline>
        </w:drawing>
      </w:r>
    </w:p>
    <w:p w:rsidR="000D50BF" w:rsidRPr="000D50BF" w:rsidRDefault="000D50BF" w:rsidP="000D50BF">
      <w:pPr>
        <w:spacing w:after="0" w:line="240" w:lineRule="auto"/>
        <w:jc w:val="center"/>
        <w:rPr>
          <w:rFonts w:ascii="Times New Roman" w:eastAsia="Times New Roman" w:hAnsi="Times New Roman" w:cs="Times New Roman"/>
          <w:b/>
          <w:sz w:val="28"/>
          <w:szCs w:val="28"/>
          <w:lang w:val="ru-RU"/>
        </w:rPr>
      </w:pPr>
      <w:r w:rsidRPr="000D50BF">
        <w:rPr>
          <w:rFonts w:ascii="Times New Roman" w:eastAsia="Times New Roman" w:hAnsi="Times New Roman" w:cs="Times New Roman"/>
          <w:b/>
          <w:sz w:val="28"/>
          <w:szCs w:val="28"/>
          <w:lang w:val="ru-RU"/>
        </w:rPr>
        <w:t>ПЕТРІВСЬКА СІЛЬСЬКА РАДА</w:t>
      </w:r>
    </w:p>
    <w:p w:rsidR="000D50BF" w:rsidRPr="000D50BF" w:rsidRDefault="000D50BF" w:rsidP="000D50BF">
      <w:pPr>
        <w:spacing w:after="0" w:line="240" w:lineRule="auto"/>
        <w:jc w:val="center"/>
        <w:rPr>
          <w:rFonts w:ascii="Times New Roman" w:eastAsia="Times New Roman" w:hAnsi="Times New Roman" w:cs="Times New Roman"/>
          <w:b/>
          <w:sz w:val="28"/>
          <w:szCs w:val="28"/>
          <w:lang w:val="ru-RU"/>
        </w:rPr>
      </w:pPr>
      <w:r w:rsidRPr="000D50BF">
        <w:rPr>
          <w:rFonts w:ascii="Times New Roman" w:eastAsia="Times New Roman" w:hAnsi="Times New Roman" w:cs="Times New Roman"/>
          <w:b/>
          <w:sz w:val="28"/>
          <w:szCs w:val="28"/>
          <w:lang w:val="ru-RU"/>
        </w:rPr>
        <w:t>ВИШГОРОДСЬКОГО РАЙОНУ КИЇВСЬКОЇ ОБЛАСТІ</w:t>
      </w:r>
    </w:p>
    <w:p w:rsidR="000D50BF" w:rsidRPr="000D50BF" w:rsidRDefault="000D50BF" w:rsidP="000D50BF">
      <w:pPr>
        <w:spacing w:after="0" w:line="240" w:lineRule="auto"/>
        <w:jc w:val="center"/>
        <w:rPr>
          <w:rFonts w:ascii="Times New Roman" w:eastAsia="Times New Roman" w:hAnsi="Times New Roman" w:cs="Times New Roman"/>
          <w:b/>
          <w:sz w:val="28"/>
          <w:szCs w:val="28"/>
          <w:lang w:val="ru-RU"/>
        </w:rPr>
      </w:pPr>
      <w:r w:rsidRPr="000D50BF">
        <w:rPr>
          <w:rFonts w:ascii="Times New Roman" w:eastAsia="Times New Roman" w:hAnsi="Times New Roman" w:cs="Times New Roman"/>
          <w:b/>
          <w:sz w:val="28"/>
          <w:szCs w:val="28"/>
          <w:lang w:val="ru-RU"/>
        </w:rPr>
        <w:t xml:space="preserve"> </w:t>
      </w:r>
      <w:r w:rsidRPr="000D50BF">
        <w:rPr>
          <w:rFonts w:ascii="Times New Roman" w:eastAsia="Times New Roman" w:hAnsi="Times New Roman" w:cs="Times New Roman"/>
          <w:b/>
          <w:sz w:val="28"/>
          <w:szCs w:val="28"/>
        </w:rPr>
        <w:t>Сімдесята</w:t>
      </w:r>
      <w:r w:rsidRPr="000D50BF">
        <w:rPr>
          <w:rFonts w:ascii="Times New Roman" w:eastAsia="Times New Roman" w:hAnsi="Times New Roman" w:cs="Times New Roman"/>
          <w:b/>
          <w:sz w:val="28"/>
          <w:szCs w:val="28"/>
          <w:lang w:val="ru-RU"/>
        </w:rPr>
        <w:t xml:space="preserve"> </w:t>
      </w:r>
      <w:proofErr w:type="spellStart"/>
      <w:r w:rsidRPr="000D50BF">
        <w:rPr>
          <w:rFonts w:ascii="Times New Roman" w:eastAsia="Times New Roman" w:hAnsi="Times New Roman" w:cs="Times New Roman"/>
          <w:b/>
          <w:sz w:val="28"/>
          <w:szCs w:val="28"/>
          <w:lang w:val="ru-RU"/>
        </w:rPr>
        <w:t>сесія</w:t>
      </w:r>
      <w:proofErr w:type="spellEnd"/>
      <w:r w:rsidRPr="000D50BF">
        <w:rPr>
          <w:rFonts w:ascii="Times New Roman" w:eastAsia="Times New Roman" w:hAnsi="Times New Roman" w:cs="Times New Roman"/>
          <w:b/>
          <w:sz w:val="28"/>
          <w:szCs w:val="28"/>
          <w:lang w:val="ru-RU"/>
        </w:rPr>
        <w:t xml:space="preserve"> восьмого </w:t>
      </w:r>
      <w:proofErr w:type="spellStart"/>
      <w:r w:rsidRPr="000D50BF">
        <w:rPr>
          <w:rFonts w:ascii="Times New Roman" w:eastAsia="Times New Roman" w:hAnsi="Times New Roman" w:cs="Times New Roman"/>
          <w:b/>
          <w:sz w:val="28"/>
          <w:szCs w:val="28"/>
          <w:lang w:val="ru-RU"/>
        </w:rPr>
        <w:t>скликання</w:t>
      </w:r>
      <w:proofErr w:type="spellEnd"/>
    </w:p>
    <w:p w:rsidR="000D50BF" w:rsidRPr="000D50BF" w:rsidRDefault="000D50BF" w:rsidP="000D50BF">
      <w:pPr>
        <w:spacing w:after="0" w:line="240" w:lineRule="auto"/>
        <w:jc w:val="center"/>
        <w:rPr>
          <w:rFonts w:ascii="Times New Roman" w:eastAsia="Times New Roman" w:hAnsi="Times New Roman" w:cs="Times New Roman"/>
          <w:sz w:val="28"/>
          <w:szCs w:val="28"/>
          <w:lang w:val="ru-RU"/>
        </w:rPr>
      </w:pPr>
    </w:p>
    <w:tbl>
      <w:tblPr>
        <w:tblW w:w="0" w:type="auto"/>
        <w:tblLook w:val="04A0" w:firstRow="1" w:lastRow="0" w:firstColumn="1" w:lastColumn="0" w:noHBand="0" w:noVBand="1"/>
      </w:tblPr>
      <w:tblGrid>
        <w:gridCol w:w="4790"/>
        <w:gridCol w:w="4781"/>
      </w:tblGrid>
      <w:tr w:rsidR="000D50BF" w:rsidRPr="000D50BF" w:rsidTr="00052E9A">
        <w:tc>
          <w:tcPr>
            <w:tcW w:w="4790" w:type="dxa"/>
            <w:hideMark/>
          </w:tcPr>
          <w:p w:rsidR="000D50BF" w:rsidRPr="000D50BF" w:rsidRDefault="000D50BF" w:rsidP="000D50BF">
            <w:pPr>
              <w:tabs>
                <w:tab w:val="left" w:pos="6750"/>
              </w:tabs>
              <w:spacing w:after="0" w:line="256" w:lineRule="auto"/>
              <w:rPr>
                <w:rFonts w:ascii="Times New Roman" w:eastAsia="Times New Roman" w:hAnsi="Times New Roman" w:cs="Times New Roman"/>
                <w:b/>
                <w:sz w:val="28"/>
                <w:szCs w:val="28"/>
                <w:lang w:val="en-US"/>
              </w:rPr>
            </w:pPr>
            <w:r w:rsidRPr="000D50BF">
              <w:rPr>
                <w:rFonts w:ascii="Times New Roman" w:eastAsia="Times New Roman" w:hAnsi="Times New Roman" w:cs="Times New Roman"/>
                <w:b/>
                <w:sz w:val="28"/>
                <w:szCs w:val="28"/>
                <w:lang w:val="en-US"/>
              </w:rPr>
              <w:t>«</w:t>
            </w:r>
            <w:r w:rsidRPr="000D50BF">
              <w:rPr>
                <w:rFonts w:ascii="Times New Roman" w:eastAsia="Times New Roman" w:hAnsi="Times New Roman" w:cs="Times New Roman"/>
                <w:b/>
                <w:sz w:val="28"/>
                <w:szCs w:val="28"/>
              </w:rPr>
              <w:t>02</w:t>
            </w:r>
            <w:r w:rsidRPr="000D50BF">
              <w:rPr>
                <w:rFonts w:ascii="Times New Roman" w:eastAsia="Times New Roman" w:hAnsi="Times New Roman" w:cs="Times New Roman"/>
                <w:b/>
                <w:sz w:val="28"/>
                <w:szCs w:val="28"/>
                <w:lang w:val="en-US"/>
              </w:rPr>
              <w:t xml:space="preserve">» </w:t>
            </w:r>
            <w:r w:rsidRPr="000D50BF">
              <w:rPr>
                <w:rFonts w:ascii="Times New Roman" w:eastAsia="Times New Roman" w:hAnsi="Times New Roman" w:cs="Times New Roman"/>
                <w:b/>
                <w:sz w:val="28"/>
                <w:szCs w:val="28"/>
              </w:rPr>
              <w:t>квіт</w:t>
            </w:r>
            <w:proofErr w:type="spellStart"/>
            <w:r w:rsidRPr="000D50BF">
              <w:rPr>
                <w:rFonts w:ascii="Times New Roman" w:eastAsia="Times New Roman" w:hAnsi="Times New Roman" w:cs="Times New Roman"/>
                <w:b/>
                <w:sz w:val="28"/>
                <w:szCs w:val="28"/>
                <w:lang w:val="en-US"/>
              </w:rPr>
              <w:t>ня</w:t>
            </w:r>
            <w:proofErr w:type="spellEnd"/>
            <w:r w:rsidRPr="000D50BF">
              <w:rPr>
                <w:rFonts w:ascii="Times New Roman" w:eastAsia="Times New Roman" w:hAnsi="Times New Roman" w:cs="Times New Roman"/>
                <w:b/>
                <w:sz w:val="28"/>
                <w:szCs w:val="28"/>
                <w:lang w:val="en-US"/>
              </w:rPr>
              <w:t xml:space="preserve"> 202</w:t>
            </w:r>
            <w:r w:rsidRPr="000D50BF">
              <w:rPr>
                <w:rFonts w:ascii="Times New Roman" w:eastAsia="Times New Roman" w:hAnsi="Times New Roman" w:cs="Times New Roman"/>
                <w:b/>
                <w:sz w:val="28"/>
                <w:szCs w:val="28"/>
              </w:rPr>
              <w:t>5</w:t>
            </w:r>
            <w:r w:rsidRPr="000D50BF">
              <w:rPr>
                <w:rFonts w:ascii="Times New Roman" w:eastAsia="Times New Roman" w:hAnsi="Times New Roman" w:cs="Times New Roman"/>
                <w:b/>
                <w:sz w:val="28"/>
                <w:szCs w:val="28"/>
                <w:lang w:val="en-US"/>
              </w:rPr>
              <w:t xml:space="preserve"> </w:t>
            </w:r>
            <w:proofErr w:type="spellStart"/>
            <w:r w:rsidRPr="000D50BF">
              <w:rPr>
                <w:rFonts w:ascii="Times New Roman" w:eastAsia="Times New Roman" w:hAnsi="Times New Roman" w:cs="Times New Roman"/>
                <w:b/>
                <w:sz w:val="28"/>
                <w:szCs w:val="28"/>
                <w:lang w:val="en-US"/>
              </w:rPr>
              <w:t>року</w:t>
            </w:r>
            <w:proofErr w:type="spellEnd"/>
          </w:p>
        </w:tc>
        <w:tc>
          <w:tcPr>
            <w:tcW w:w="4781" w:type="dxa"/>
            <w:hideMark/>
          </w:tcPr>
          <w:p w:rsidR="000D50BF" w:rsidRPr="000D50BF" w:rsidRDefault="000D50BF" w:rsidP="000D50BF">
            <w:pPr>
              <w:tabs>
                <w:tab w:val="left" w:pos="6750"/>
              </w:tabs>
              <w:spacing w:after="0" w:line="256" w:lineRule="auto"/>
              <w:rPr>
                <w:rFonts w:ascii="Times New Roman" w:eastAsia="Times New Roman" w:hAnsi="Times New Roman" w:cs="Times New Roman"/>
                <w:b/>
                <w:sz w:val="28"/>
                <w:szCs w:val="28"/>
              </w:rPr>
            </w:pPr>
            <w:r w:rsidRPr="000D50BF">
              <w:rPr>
                <w:rFonts w:ascii="Times New Roman" w:eastAsia="Times New Roman" w:hAnsi="Times New Roman" w:cs="Times New Roman"/>
                <w:b/>
                <w:sz w:val="28"/>
                <w:szCs w:val="28"/>
                <w:lang w:val="en-US"/>
              </w:rPr>
              <w:t xml:space="preserve">                                                  № </w:t>
            </w:r>
            <w:r w:rsidR="00EE4C71">
              <w:rPr>
                <w:rFonts w:ascii="Times New Roman" w:eastAsia="Times New Roman" w:hAnsi="Times New Roman" w:cs="Times New Roman"/>
                <w:b/>
                <w:sz w:val="28"/>
                <w:szCs w:val="28"/>
              </w:rPr>
              <w:t>2579</w:t>
            </w:r>
            <w:r w:rsidRPr="000D50BF">
              <w:rPr>
                <w:rFonts w:ascii="Times New Roman" w:eastAsia="Times New Roman" w:hAnsi="Times New Roman" w:cs="Times New Roman"/>
                <w:b/>
                <w:sz w:val="28"/>
                <w:szCs w:val="28"/>
              </w:rPr>
              <w:t xml:space="preserve"> </w:t>
            </w:r>
          </w:p>
        </w:tc>
      </w:tr>
      <w:tr w:rsidR="000D50BF" w:rsidRPr="000D50BF" w:rsidTr="00052E9A">
        <w:tc>
          <w:tcPr>
            <w:tcW w:w="9571" w:type="dxa"/>
            <w:gridSpan w:val="2"/>
            <w:hideMark/>
          </w:tcPr>
          <w:p w:rsidR="000D50BF" w:rsidRPr="000D50BF" w:rsidRDefault="000D50BF" w:rsidP="000D50BF">
            <w:pPr>
              <w:tabs>
                <w:tab w:val="left" w:pos="6750"/>
              </w:tabs>
              <w:spacing w:after="0" w:line="256" w:lineRule="auto"/>
              <w:jc w:val="center"/>
              <w:rPr>
                <w:rFonts w:ascii="Times New Roman" w:eastAsia="Times New Roman" w:hAnsi="Times New Roman" w:cs="Times New Roman"/>
                <w:b/>
                <w:sz w:val="28"/>
                <w:szCs w:val="28"/>
                <w:lang w:val="en-US"/>
              </w:rPr>
            </w:pPr>
            <w:r w:rsidRPr="000D50BF">
              <w:rPr>
                <w:rFonts w:ascii="Times New Roman" w:eastAsia="Times New Roman" w:hAnsi="Times New Roman" w:cs="Times New Roman"/>
                <w:b/>
                <w:sz w:val="28"/>
                <w:szCs w:val="28"/>
                <w:lang w:val="en-US"/>
              </w:rPr>
              <w:t>РІШЕННЯ</w:t>
            </w:r>
          </w:p>
        </w:tc>
      </w:tr>
    </w:tbl>
    <w:p w:rsidR="000D50BF" w:rsidRPr="000D50BF" w:rsidRDefault="000D50BF" w:rsidP="000D50BF">
      <w:pPr>
        <w:spacing w:after="0" w:line="240" w:lineRule="auto"/>
        <w:rPr>
          <w:rFonts w:ascii="Times New Roman" w:eastAsia="Times New Roman" w:hAnsi="Times New Roman" w:cs="Times New Roman"/>
          <w:b/>
          <w:bCs/>
          <w:i/>
          <w:iCs/>
          <w:sz w:val="28"/>
          <w:szCs w:val="28"/>
          <w:lang w:val="ru-RU"/>
        </w:rPr>
      </w:pPr>
    </w:p>
    <w:p w:rsidR="007C1D5B" w:rsidRPr="007C1D5B" w:rsidRDefault="007C1D5B" w:rsidP="007C1D5B">
      <w:pPr>
        <w:tabs>
          <w:tab w:val="left" w:pos="1878"/>
        </w:tabs>
        <w:spacing w:after="0" w:line="240" w:lineRule="auto"/>
        <w:ind w:right="5244"/>
        <w:rPr>
          <w:rFonts w:ascii="Times New Roman" w:eastAsia="Times New Roman" w:hAnsi="Times New Roman" w:cs="Times New Roman"/>
          <w:b/>
          <w:i/>
          <w:sz w:val="28"/>
          <w:szCs w:val="28"/>
        </w:rPr>
      </w:pPr>
      <w:r w:rsidRPr="007C1D5B">
        <w:rPr>
          <w:rFonts w:ascii="Times New Roman" w:eastAsia="Times New Roman" w:hAnsi="Times New Roman" w:cs="Times New Roman"/>
          <w:b/>
          <w:i/>
          <w:sz w:val="28"/>
          <w:szCs w:val="28"/>
        </w:rPr>
        <w:t xml:space="preserve">Про затвердження Методики розрахунку орендної плати за майно комунальної власності Петрівської сільської територіальної громади </w:t>
      </w:r>
    </w:p>
    <w:p w:rsidR="007C1D5B" w:rsidRPr="007C1D5B" w:rsidRDefault="007C1D5B" w:rsidP="007C1D5B">
      <w:pPr>
        <w:spacing w:after="0" w:line="240" w:lineRule="auto"/>
        <w:rPr>
          <w:rFonts w:ascii="Times New Roman" w:eastAsia="Times New Roman" w:hAnsi="Times New Roman" w:cs="Times New Roman"/>
          <w:sz w:val="24"/>
          <w:szCs w:val="24"/>
        </w:rPr>
      </w:pPr>
    </w:p>
    <w:p w:rsidR="007C1D5B" w:rsidRPr="007C1D5B" w:rsidRDefault="007C1D5B" w:rsidP="007C1D5B">
      <w:pPr>
        <w:tabs>
          <w:tab w:val="left" w:pos="1878"/>
        </w:tabs>
        <w:spacing w:after="0" w:line="240" w:lineRule="auto"/>
        <w:ind w:firstLine="709"/>
        <w:jc w:val="both"/>
        <w:rPr>
          <w:rFonts w:ascii="Times New Roman" w:eastAsia="Times New Roman" w:hAnsi="Times New Roman" w:cs="Times New Roman"/>
          <w:sz w:val="28"/>
          <w:szCs w:val="28"/>
        </w:rPr>
      </w:pPr>
      <w:r w:rsidRPr="007C1D5B">
        <w:rPr>
          <w:rFonts w:ascii="Times New Roman" w:eastAsia="Times New Roman" w:hAnsi="Times New Roman" w:cs="Times New Roman"/>
          <w:sz w:val="28"/>
          <w:szCs w:val="28"/>
        </w:rPr>
        <w:t xml:space="preserve">Відповідно до статей 25, 60 Закону України «Про місцеве самоврядування в Україні», статті 17 Закону України «Про оренду державного та комунального майна», постанови Кабінету Міністрів України від 28.04.2021 № 630 «Деякі питання розрахунку орендної плати за державне майно», з метою запровадження єдиного механізму визначення розміру та справляння плати за оренду майна комунальної власності Петрівської сільської територіальної громади, підвищення ефективності використання такого майна шляхом надання в оренду Петрівська сільська рада </w:t>
      </w:r>
    </w:p>
    <w:p w:rsidR="007C1D5B" w:rsidRPr="007C1D5B" w:rsidRDefault="007C1D5B" w:rsidP="007C1D5B">
      <w:pPr>
        <w:spacing w:after="0" w:line="240" w:lineRule="auto"/>
        <w:jc w:val="both"/>
        <w:rPr>
          <w:rFonts w:ascii="Times New Roman" w:eastAsia="Times New Roman" w:hAnsi="Times New Roman" w:cs="Times New Roman"/>
          <w:sz w:val="28"/>
          <w:szCs w:val="28"/>
        </w:rPr>
      </w:pPr>
    </w:p>
    <w:p w:rsidR="007C1D5B" w:rsidRPr="007C1D5B" w:rsidRDefault="007C1D5B" w:rsidP="007C1D5B">
      <w:pPr>
        <w:tabs>
          <w:tab w:val="left" w:pos="1878"/>
        </w:tabs>
        <w:spacing w:after="0" w:line="240" w:lineRule="auto"/>
        <w:jc w:val="center"/>
        <w:rPr>
          <w:rFonts w:ascii="Times New Roman" w:eastAsia="Times New Roman" w:hAnsi="Times New Roman" w:cs="Times New Roman"/>
          <w:sz w:val="28"/>
          <w:szCs w:val="28"/>
        </w:rPr>
      </w:pPr>
      <w:r w:rsidRPr="007C1D5B">
        <w:rPr>
          <w:rFonts w:ascii="Times New Roman" w:eastAsia="Times New Roman" w:hAnsi="Times New Roman" w:cs="Times New Roman"/>
          <w:sz w:val="28"/>
          <w:szCs w:val="28"/>
        </w:rPr>
        <w:t>ВИРІШИЛА:</w:t>
      </w:r>
    </w:p>
    <w:p w:rsidR="007C1D5B" w:rsidRPr="007C1D5B" w:rsidRDefault="007C1D5B" w:rsidP="007C1D5B">
      <w:pPr>
        <w:tabs>
          <w:tab w:val="left" w:pos="1878"/>
        </w:tabs>
        <w:spacing w:after="0" w:line="240" w:lineRule="auto"/>
        <w:jc w:val="both"/>
        <w:rPr>
          <w:rFonts w:ascii="Times New Roman" w:eastAsia="Times New Roman" w:hAnsi="Times New Roman" w:cs="Times New Roman"/>
          <w:sz w:val="28"/>
          <w:szCs w:val="28"/>
        </w:rPr>
      </w:pPr>
    </w:p>
    <w:p w:rsidR="007C1D5B" w:rsidRPr="007C1D5B" w:rsidRDefault="007C1D5B" w:rsidP="007C1D5B">
      <w:pPr>
        <w:numPr>
          <w:ilvl w:val="0"/>
          <w:numId w:val="2"/>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7C1D5B">
        <w:rPr>
          <w:rFonts w:ascii="Times New Roman" w:eastAsia="Times New Roman" w:hAnsi="Times New Roman" w:cs="Times New Roman"/>
          <w:sz w:val="28"/>
          <w:szCs w:val="28"/>
        </w:rPr>
        <w:t>Затвердити Методику розрахунку орендної плати за майно комунальної власності Петрівської сільської територіальної громади (додається).</w:t>
      </w:r>
    </w:p>
    <w:p w:rsidR="007C1D5B" w:rsidRPr="007C1D5B" w:rsidRDefault="00955C31" w:rsidP="007C1D5B">
      <w:pPr>
        <w:numPr>
          <w:ilvl w:val="0"/>
          <w:numId w:val="2"/>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набирає чинності з дня його офіційного оприлюднення</w:t>
      </w:r>
      <w:r w:rsidR="007C1D5B" w:rsidRPr="007C1D5B">
        <w:rPr>
          <w:rFonts w:ascii="Times New Roman" w:eastAsia="Times New Roman" w:hAnsi="Times New Roman" w:cs="Times New Roman"/>
          <w:sz w:val="28"/>
          <w:szCs w:val="28"/>
        </w:rPr>
        <w:t xml:space="preserve">. </w:t>
      </w:r>
    </w:p>
    <w:p w:rsidR="007C1D5B" w:rsidRPr="007C1D5B" w:rsidRDefault="007C1D5B" w:rsidP="007C1D5B">
      <w:pPr>
        <w:numPr>
          <w:ilvl w:val="0"/>
          <w:numId w:val="2"/>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7C1D5B">
        <w:rPr>
          <w:rFonts w:ascii="Times New Roman" w:eastAsia="Times New Roman" w:hAnsi="Times New Roman" w:cs="Times New Roman"/>
          <w:sz w:val="28"/>
          <w:szCs w:val="28"/>
        </w:rPr>
        <w:t>Контроль за виконанням цього рішення покласти на постійну комісію з питань комунальної власності, приватизації, житлово-комунального господарства, розвитку промисловості та інфраструктури.</w:t>
      </w:r>
    </w:p>
    <w:p w:rsidR="007C1D5B" w:rsidRPr="007C1D5B" w:rsidRDefault="007C1D5B" w:rsidP="007C1D5B">
      <w:pPr>
        <w:spacing w:after="0" w:line="240" w:lineRule="auto"/>
        <w:jc w:val="both"/>
        <w:rPr>
          <w:rFonts w:ascii="Times New Roman" w:eastAsia="Times New Roman" w:hAnsi="Times New Roman" w:cs="Times New Roman"/>
          <w:sz w:val="28"/>
          <w:szCs w:val="28"/>
        </w:rPr>
      </w:pPr>
    </w:p>
    <w:p w:rsidR="007C1D5B" w:rsidRPr="007C1D5B" w:rsidRDefault="007C1D5B" w:rsidP="007C1D5B">
      <w:pPr>
        <w:spacing w:after="0" w:line="240" w:lineRule="auto"/>
        <w:jc w:val="both"/>
        <w:rPr>
          <w:rFonts w:ascii="Times New Roman" w:eastAsia="Times New Roman" w:hAnsi="Times New Roman" w:cs="Times New Roman"/>
          <w:sz w:val="28"/>
          <w:szCs w:val="28"/>
        </w:rPr>
      </w:pPr>
    </w:p>
    <w:p w:rsidR="007C1D5B" w:rsidRPr="007C1D5B" w:rsidRDefault="007C1D5B" w:rsidP="007C1D5B">
      <w:pPr>
        <w:spacing w:after="0" w:line="240" w:lineRule="auto"/>
        <w:jc w:val="both"/>
        <w:rPr>
          <w:rFonts w:ascii="Times New Roman" w:eastAsia="Times New Roman" w:hAnsi="Times New Roman" w:cs="Times New Roman"/>
          <w:b/>
          <w:i/>
          <w:sz w:val="28"/>
          <w:szCs w:val="28"/>
        </w:rPr>
      </w:pPr>
      <w:r w:rsidRPr="007C1D5B">
        <w:rPr>
          <w:rFonts w:ascii="Times New Roman" w:eastAsia="Times New Roman" w:hAnsi="Times New Roman" w:cs="Times New Roman"/>
          <w:b/>
          <w:i/>
          <w:sz w:val="28"/>
          <w:szCs w:val="28"/>
        </w:rPr>
        <w:t xml:space="preserve">Сільський голова </w:t>
      </w:r>
      <w:r w:rsidRPr="007C1D5B">
        <w:rPr>
          <w:rFonts w:ascii="Times New Roman" w:eastAsia="Times New Roman" w:hAnsi="Times New Roman" w:cs="Times New Roman"/>
          <w:b/>
          <w:i/>
          <w:sz w:val="28"/>
          <w:szCs w:val="28"/>
        </w:rPr>
        <w:tab/>
      </w:r>
      <w:r w:rsidRPr="007C1D5B">
        <w:rPr>
          <w:rFonts w:ascii="Times New Roman" w:eastAsia="Times New Roman" w:hAnsi="Times New Roman" w:cs="Times New Roman"/>
          <w:b/>
          <w:i/>
          <w:sz w:val="28"/>
          <w:szCs w:val="28"/>
        </w:rPr>
        <w:tab/>
      </w:r>
      <w:r w:rsidRPr="007C1D5B">
        <w:rPr>
          <w:rFonts w:ascii="Times New Roman" w:eastAsia="Times New Roman" w:hAnsi="Times New Roman" w:cs="Times New Roman"/>
          <w:b/>
          <w:i/>
          <w:sz w:val="28"/>
          <w:szCs w:val="28"/>
        </w:rPr>
        <w:tab/>
      </w:r>
      <w:r w:rsidRPr="007C1D5B">
        <w:rPr>
          <w:rFonts w:ascii="Times New Roman" w:eastAsia="Times New Roman" w:hAnsi="Times New Roman" w:cs="Times New Roman"/>
          <w:b/>
          <w:i/>
          <w:sz w:val="28"/>
          <w:szCs w:val="28"/>
        </w:rPr>
        <w:tab/>
      </w:r>
      <w:r w:rsidRPr="007C1D5B">
        <w:rPr>
          <w:rFonts w:ascii="Times New Roman" w:eastAsia="Times New Roman" w:hAnsi="Times New Roman" w:cs="Times New Roman"/>
          <w:b/>
          <w:i/>
          <w:sz w:val="28"/>
          <w:szCs w:val="28"/>
        </w:rPr>
        <w:tab/>
      </w:r>
      <w:r w:rsidR="009D5A32" w:rsidRPr="009D5A32">
        <w:rPr>
          <w:rFonts w:ascii="Times New Roman" w:eastAsia="Times New Roman" w:hAnsi="Times New Roman" w:cs="Times New Roman"/>
          <w:b/>
          <w:i/>
          <w:sz w:val="28"/>
          <w:szCs w:val="28"/>
        </w:rPr>
        <w:t xml:space="preserve">           </w:t>
      </w:r>
      <w:proofErr w:type="spellStart"/>
      <w:r w:rsidRPr="007C1D5B">
        <w:rPr>
          <w:rFonts w:ascii="Times New Roman" w:eastAsia="Times New Roman" w:hAnsi="Times New Roman" w:cs="Times New Roman"/>
          <w:b/>
          <w:i/>
          <w:sz w:val="28"/>
          <w:szCs w:val="28"/>
        </w:rPr>
        <w:t>Радіон</w:t>
      </w:r>
      <w:proofErr w:type="spellEnd"/>
      <w:r w:rsidRPr="007C1D5B">
        <w:rPr>
          <w:rFonts w:ascii="Times New Roman" w:eastAsia="Times New Roman" w:hAnsi="Times New Roman" w:cs="Times New Roman"/>
          <w:b/>
          <w:i/>
          <w:sz w:val="28"/>
          <w:szCs w:val="28"/>
        </w:rPr>
        <w:t xml:space="preserve"> СТАРЕНЬКИЙ</w:t>
      </w:r>
    </w:p>
    <w:p w:rsidR="007C1D5B" w:rsidRPr="007C1D5B" w:rsidRDefault="007C1D5B" w:rsidP="007C1D5B">
      <w:pPr>
        <w:spacing w:after="0" w:line="240" w:lineRule="auto"/>
        <w:rPr>
          <w:rFonts w:ascii="Times New Roman" w:eastAsia="Times New Roman" w:hAnsi="Times New Roman" w:cs="Times New Roman"/>
          <w:sz w:val="24"/>
          <w:szCs w:val="24"/>
          <w:lang w:val="ru-RU"/>
        </w:rPr>
      </w:pPr>
    </w:p>
    <w:p w:rsidR="000E14A2" w:rsidRDefault="000E1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0"/>
          <w:szCs w:val="20"/>
        </w:rPr>
      </w:pPr>
    </w:p>
    <w:p w:rsidR="0014209E" w:rsidRDefault="00142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0"/>
          <w:szCs w:val="20"/>
        </w:rPr>
      </w:pPr>
    </w:p>
    <w:p w:rsidR="0014209E" w:rsidRDefault="00142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0"/>
          <w:szCs w:val="20"/>
        </w:rPr>
      </w:pPr>
    </w:p>
    <w:p w:rsidR="004D780C" w:rsidRDefault="004D78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0"/>
          <w:szCs w:val="20"/>
        </w:rPr>
      </w:pPr>
    </w:p>
    <w:p w:rsidR="000D50BF" w:rsidRDefault="000D50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0"/>
          <w:szCs w:val="20"/>
        </w:rPr>
      </w:pPr>
    </w:p>
    <w:p w:rsidR="00955C31" w:rsidRDefault="00955C31" w:rsidP="00D5718E">
      <w:pPr>
        <w:spacing w:after="0" w:line="240" w:lineRule="auto"/>
        <w:ind w:left="5387"/>
        <w:jc w:val="both"/>
        <w:rPr>
          <w:rFonts w:ascii="Times New Roman" w:eastAsia="Times New Roman" w:hAnsi="Times New Roman" w:cs="Times New Roman"/>
          <w:b/>
          <w:sz w:val="28"/>
          <w:szCs w:val="28"/>
        </w:rPr>
      </w:pPr>
      <w:bookmarkStart w:id="0" w:name="_gjdgxs" w:colFirst="0" w:colLast="0"/>
      <w:bookmarkEnd w:id="0"/>
    </w:p>
    <w:p w:rsidR="000D50BF" w:rsidRDefault="000D50BF" w:rsidP="00D5718E">
      <w:pPr>
        <w:spacing w:after="0" w:line="240" w:lineRule="auto"/>
        <w:ind w:left="5387"/>
        <w:jc w:val="both"/>
        <w:rPr>
          <w:rFonts w:ascii="Times New Roman" w:eastAsia="Times New Roman" w:hAnsi="Times New Roman" w:cs="Times New Roman"/>
          <w:b/>
          <w:sz w:val="28"/>
          <w:szCs w:val="28"/>
        </w:rPr>
      </w:pPr>
    </w:p>
    <w:p w:rsidR="000D50BF" w:rsidRDefault="000D50BF" w:rsidP="00D5718E">
      <w:pPr>
        <w:spacing w:after="0" w:line="240" w:lineRule="auto"/>
        <w:ind w:left="5387"/>
        <w:jc w:val="both"/>
        <w:rPr>
          <w:rFonts w:ascii="Times New Roman" w:eastAsia="Times New Roman" w:hAnsi="Times New Roman" w:cs="Times New Roman"/>
          <w:b/>
          <w:sz w:val="28"/>
          <w:szCs w:val="28"/>
        </w:rPr>
      </w:pPr>
    </w:p>
    <w:p w:rsidR="00EE4C71" w:rsidRDefault="00EE4C71" w:rsidP="00D5718E">
      <w:pPr>
        <w:spacing w:after="0" w:line="240" w:lineRule="auto"/>
        <w:ind w:left="5387"/>
        <w:jc w:val="both"/>
        <w:rPr>
          <w:rFonts w:ascii="Times New Roman" w:eastAsia="Times New Roman" w:hAnsi="Times New Roman" w:cs="Times New Roman"/>
          <w:b/>
          <w:sz w:val="28"/>
          <w:szCs w:val="28"/>
        </w:rPr>
      </w:pPr>
    </w:p>
    <w:p w:rsidR="00EE4C71" w:rsidRDefault="00EE4C71" w:rsidP="00D5718E">
      <w:pPr>
        <w:spacing w:after="0" w:line="240" w:lineRule="auto"/>
        <w:ind w:left="5387"/>
        <w:jc w:val="both"/>
        <w:rPr>
          <w:rFonts w:ascii="Times New Roman" w:eastAsia="Times New Roman" w:hAnsi="Times New Roman" w:cs="Times New Roman"/>
          <w:b/>
          <w:sz w:val="28"/>
          <w:szCs w:val="28"/>
        </w:rPr>
      </w:pPr>
    </w:p>
    <w:p w:rsidR="00EE4C71" w:rsidRDefault="00EE4C71" w:rsidP="00D5718E">
      <w:pPr>
        <w:spacing w:after="0" w:line="240" w:lineRule="auto"/>
        <w:ind w:left="5387"/>
        <w:jc w:val="both"/>
        <w:rPr>
          <w:rFonts w:ascii="Times New Roman" w:eastAsia="Times New Roman" w:hAnsi="Times New Roman" w:cs="Times New Roman"/>
          <w:b/>
          <w:sz w:val="28"/>
          <w:szCs w:val="28"/>
        </w:rPr>
      </w:pPr>
    </w:p>
    <w:p w:rsidR="00D73552" w:rsidRPr="00D5718E" w:rsidRDefault="00D73552" w:rsidP="00D5718E">
      <w:pPr>
        <w:spacing w:after="0" w:line="240" w:lineRule="auto"/>
        <w:ind w:left="5387"/>
        <w:jc w:val="both"/>
        <w:rPr>
          <w:rFonts w:ascii="Times New Roman" w:eastAsia="Times New Roman" w:hAnsi="Times New Roman" w:cs="Times New Roman"/>
          <w:b/>
          <w:sz w:val="28"/>
          <w:szCs w:val="28"/>
        </w:rPr>
      </w:pPr>
      <w:r w:rsidRPr="00D5718E">
        <w:rPr>
          <w:rFonts w:ascii="Times New Roman" w:eastAsia="Times New Roman" w:hAnsi="Times New Roman" w:cs="Times New Roman"/>
          <w:b/>
          <w:sz w:val="28"/>
          <w:szCs w:val="28"/>
        </w:rPr>
        <w:t xml:space="preserve">ЗАТВЕРДЖЕНО </w:t>
      </w:r>
    </w:p>
    <w:p w:rsidR="000E14A2" w:rsidRPr="00D5718E" w:rsidRDefault="00D5718E" w:rsidP="00D5718E">
      <w:pPr>
        <w:spacing w:after="0" w:line="240" w:lineRule="auto"/>
        <w:ind w:left="5387"/>
        <w:jc w:val="both"/>
        <w:rPr>
          <w:rFonts w:ascii="Times New Roman" w:eastAsia="Times New Roman" w:hAnsi="Times New Roman" w:cs="Times New Roman"/>
          <w:b/>
          <w:sz w:val="28"/>
          <w:szCs w:val="28"/>
        </w:rPr>
      </w:pPr>
      <w:r w:rsidRPr="00D5718E">
        <w:rPr>
          <w:rFonts w:ascii="Times New Roman" w:eastAsia="Times New Roman" w:hAnsi="Times New Roman" w:cs="Times New Roman"/>
          <w:b/>
          <w:sz w:val="28"/>
          <w:szCs w:val="28"/>
        </w:rPr>
        <w:t>р</w:t>
      </w:r>
      <w:r w:rsidR="00F27E52" w:rsidRPr="00D5718E">
        <w:rPr>
          <w:rFonts w:ascii="Times New Roman" w:eastAsia="Times New Roman" w:hAnsi="Times New Roman" w:cs="Times New Roman"/>
          <w:b/>
          <w:sz w:val="28"/>
          <w:szCs w:val="28"/>
        </w:rPr>
        <w:t>ішення</w:t>
      </w:r>
      <w:r w:rsidRPr="00D5718E">
        <w:rPr>
          <w:rFonts w:ascii="Times New Roman" w:eastAsia="Times New Roman" w:hAnsi="Times New Roman" w:cs="Times New Roman"/>
          <w:b/>
          <w:sz w:val="28"/>
          <w:szCs w:val="28"/>
        </w:rPr>
        <w:t>м сесії</w:t>
      </w:r>
      <w:r w:rsidR="00F27E52" w:rsidRPr="00D5718E">
        <w:rPr>
          <w:rFonts w:ascii="Times New Roman" w:eastAsia="Times New Roman" w:hAnsi="Times New Roman" w:cs="Times New Roman"/>
          <w:b/>
          <w:sz w:val="28"/>
          <w:szCs w:val="28"/>
        </w:rPr>
        <w:t xml:space="preserve"> </w:t>
      </w:r>
      <w:r w:rsidR="008744BA" w:rsidRPr="00D5718E">
        <w:rPr>
          <w:rFonts w:ascii="Times New Roman" w:eastAsia="Times New Roman" w:hAnsi="Times New Roman" w:cs="Times New Roman"/>
          <w:b/>
          <w:sz w:val="28"/>
          <w:szCs w:val="28"/>
        </w:rPr>
        <w:t>с</w:t>
      </w:r>
      <w:r w:rsidR="00F27E52" w:rsidRPr="00D5718E">
        <w:rPr>
          <w:rFonts w:ascii="Times New Roman" w:eastAsia="Times New Roman" w:hAnsi="Times New Roman" w:cs="Times New Roman"/>
          <w:b/>
          <w:sz w:val="28"/>
          <w:szCs w:val="28"/>
        </w:rPr>
        <w:t>і</w:t>
      </w:r>
      <w:r w:rsidR="008744BA" w:rsidRPr="00D5718E">
        <w:rPr>
          <w:rFonts w:ascii="Times New Roman" w:eastAsia="Times New Roman" w:hAnsi="Times New Roman" w:cs="Times New Roman"/>
          <w:b/>
          <w:sz w:val="28"/>
          <w:szCs w:val="28"/>
        </w:rPr>
        <w:t>ль</w:t>
      </w:r>
      <w:r w:rsidR="00F27E52" w:rsidRPr="00D5718E">
        <w:rPr>
          <w:rFonts w:ascii="Times New Roman" w:eastAsia="Times New Roman" w:hAnsi="Times New Roman" w:cs="Times New Roman"/>
          <w:b/>
          <w:sz w:val="28"/>
          <w:szCs w:val="28"/>
        </w:rPr>
        <w:t>ської ради</w:t>
      </w:r>
    </w:p>
    <w:p w:rsidR="000E14A2" w:rsidRPr="00D5718E" w:rsidRDefault="00F27E52" w:rsidP="00D5718E">
      <w:pPr>
        <w:spacing w:after="0" w:line="240" w:lineRule="auto"/>
        <w:ind w:left="5387"/>
        <w:jc w:val="both"/>
        <w:rPr>
          <w:rFonts w:ascii="Times New Roman" w:eastAsia="Times New Roman" w:hAnsi="Times New Roman" w:cs="Times New Roman"/>
          <w:b/>
          <w:sz w:val="28"/>
          <w:szCs w:val="28"/>
        </w:rPr>
      </w:pPr>
      <w:r w:rsidRPr="00D5718E">
        <w:rPr>
          <w:rFonts w:ascii="Times New Roman" w:eastAsia="Times New Roman" w:hAnsi="Times New Roman" w:cs="Times New Roman"/>
          <w:b/>
          <w:sz w:val="28"/>
          <w:szCs w:val="28"/>
        </w:rPr>
        <w:t xml:space="preserve">від </w:t>
      </w:r>
      <w:r w:rsidR="000D50BF">
        <w:rPr>
          <w:rFonts w:ascii="Times New Roman" w:eastAsia="Times New Roman" w:hAnsi="Times New Roman" w:cs="Times New Roman"/>
          <w:b/>
          <w:sz w:val="28"/>
          <w:szCs w:val="28"/>
        </w:rPr>
        <w:t>02.04.2025</w:t>
      </w:r>
      <w:r w:rsidR="00D73552" w:rsidRPr="00D5718E">
        <w:rPr>
          <w:rFonts w:ascii="Times New Roman" w:eastAsia="Times New Roman" w:hAnsi="Times New Roman" w:cs="Times New Roman"/>
          <w:b/>
          <w:sz w:val="28"/>
          <w:szCs w:val="28"/>
        </w:rPr>
        <w:t xml:space="preserve"> </w:t>
      </w:r>
      <w:r w:rsidRPr="00D5718E">
        <w:rPr>
          <w:rFonts w:ascii="Times New Roman" w:eastAsia="Times New Roman" w:hAnsi="Times New Roman" w:cs="Times New Roman"/>
          <w:b/>
          <w:sz w:val="28"/>
          <w:szCs w:val="28"/>
        </w:rPr>
        <w:t>№ _</w:t>
      </w:r>
    </w:p>
    <w:p w:rsidR="000E14A2" w:rsidRDefault="000E14A2">
      <w:pPr>
        <w:spacing w:after="0"/>
        <w:jc w:val="center"/>
        <w:rPr>
          <w:rFonts w:ascii="Times New Roman" w:eastAsia="Times New Roman" w:hAnsi="Times New Roman" w:cs="Times New Roman"/>
          <w:b/>
          <w:i/>
          <w:sz w:val="28"/>
          <w:szCs w:val="28"/>
        </w:rPr>
      </w:pPr>
    </w:p>
    <w:p w:rsidR="000E14A2" w:rsidRDefault="00F27E52">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Методика розрахунку орендної плати за майно комунальної власності </w:t>
      </w:r>
      <w:r w:rsidR="008744BA">
        <w:rPr>
          <w:rFonts w:ascii="Times New Roman" w:eastAsia="Times New Roman" w:hAnsi="Times New Roman" w:cs="Times New Roman"/>
          <w:b/>
          <w:sz w:val="28"/>
          <w:szCs w:val="28"/>
        </w:rPr>
        <w:t xml:space="preserve">Петрівської сільської </w:t>
      </w:r>
      <w:r>
        <w:rPr>
          <w:rFonts w:ascii="Times New Roman" w:eastAsia="Times New Roman" w:hAnsi="Times New Roman" w:cs="Times New Roman"/>
          <w:b/>
          <w:sz w:val="28"/>
          <w:szCs w:val="28"/>
        </w:rPr>
        <w:t xml:space="preserve">територіальної громади </w:t>
      </w:r>
    </w:p>
    <w:p w:rsidR="000E14A2" w:rsidRDefault="000E14A2">
      <w:pPr>
        <w:spacing w:after="0"/>
        <w:jc w:val="center"/>
        <w:rPr>
          <w:rFonts w:ascii="Times New Roman" w:eastAsia="Times New Roman" w:hAnsi="Times New Roman" w:cs="Times New Roman"/>
          <w:b/>
          <w:i/>
          <w:sz w:val="28"/>
          <w:szCs w:val="28"/>
        </w:rPr>
      </w:pPr>
    </w:p>
    <w:p w:rsidR="000E14A2" w:rsidRDefault="00F27E52">
      <w:pPr>
        <w:pBdr>
          <w:top w:val="nil"/>
          <w:left w:val="nil"/>
          <w:bottom w:val="nil"/>
          <w:right w:val="nil"/>
          <w:between w:val="nil"/>
        </w:pBdr>
        <w:tabs>
          <w:tab w:val="left" w:pos="7308"/>
        </w:tabs>
        <w:spacing w:before="280" w:after="0" w:line="24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Ця Методика визначає механізм визначення розміру плати за оренду об’єктів, визначених частиною першою статті 3 Закону України «Про оренду державного та комунального майна» (далі – Закон).</w:t>
      </w:r>
    </w:p>
    <w:p w:rsidR="000E14A2" w:rsidRDefault="00F27E52">
      <w:pPr>
        <w:pBdr>
          <w:top w:val="nil"/>
          <w:left w:val="nil"/>
          <w:bottom w:val="nil"/>
          <w:right w:val="nil"/>
          <w:between w:val="nil"/>
        </w:pBdr>
        <w:tabs>
          <w:tab w:val="left" w:pos="7308"/>
        </w:tabs>
        <w:spacing w:after="0" w:line="24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У разі коли орендодавцем комунального нерухомого майна є балансоутримувач, розмір орендної плати погоджується з </w:t>
      </w:r>
      <w:r w:rsidR="00917934">
        <w:rPr>
          <w:rFonts w:ascii="Times New Roman" w:eastAsia="Times New Roman" w:hAnsi="Times New Roman" w:cs="Times New Roman"/>
          <w:color w:val="000000"/>
          <w:sz w:val="28"/>
          <w:szCs w:val="28"/>
        </w:rPr>
        <w:t>виконавчим комітетом Петрівської сільської ради</w:t>
      </w:r>
      <w:r>
        <w:rPr>
          <w:rFonts w:ascii="Times New Roman" w:eastAsia="Times New Roman" w:hAnsi="Times New Roman" w:cs="Times New Roman"/>
          <w:color w:val="000000"/>
          <w:sz w:val="28"/>
          <w:szCs w:val="28"/>
        </w:rPr>
        <w:t xml:space="preserve">. </w:t>
      </w:r>
    </w:p>
    <w:p w:rsidR="000E14A2" w:rsidRDefault="00F27E52">
      <w:pPr>
        <w:pBdr>
          <w:top w:val="nil"/>
          <w:left w:val="nil"/>
          <w:bottom w:val="nil"/>
          <w:right w:val="nil"/>
          <w:between w:val="nil"/>
        </w:pBdr>
        <w:tabs>
          <w:tab w:val="left" w:pos="7308"/>
        </w:tabs>
        <w:spacing w:after="0" w:line="24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Розмір орендної плати за нерухоме майно та інше окреме індивідуально визначене майно, яке передається дипломатичним представництвам, консульським установам іноземних держав, представництвам міжнародних організацій в Україні для виконання своїх функцій, крім випадку, передбаченого пунктом 19 цієї Методики, розраховується згідно з цією Методикою за результатами незалежної оцінки і за домовленістю сторін може бути змінений в установленому законодавством порядку, але в будь-якому випадку не може бути меншим розрахованої орендної плати за цією Методикою.</w:t>
      </w:r>
    </w:p>
    <w:p w:rsidR="000E14A2" w:rsidRDefault="00F27E52">
      <w:pPr>
        <w:pBdr>
          <w:top w:val="nil"/>
          <w:left w:val="nil"/>
          <w:bottom w:val="nil"/>
          <w:right w:val="nil"/>
          <w:between w:val="nil"/>
        </w:pBdr>
        <w:tabs>
          <w:tab w:val="left" w:pos="7308"/>
        </w:tabs>
        <w:spacing w:after="0" w:line="24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До плати за оренду іншого окремого індивідуально визначеного майна не включаються витрати на утримання орендованого майна та плата за послуги, які відповідно до укладеного договору зобов’язується надавати орендарю балансоутримувач.</w:t>
      </w:r>
    </w:p>
    <w:p w:rsidR="000E14A2" w:rsidRDefault="00F27E52">
      <w:pPr>
        <w:pBdr>
          <w:top w:val="nil"/>
          <w:left w:val="nil"/>
          <w:bottom w:val="nil"/>
          <w:right w:val="nil"/>
          <w:between w:val="nil"/>
        </w:pBdr>
        <w:tabs>
          <w:tab w:val="left" w:pos="7308"/>
        </w:tabs>
        <w:spacing w:after="0" w:line="24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Відшкодування витрат балансоутримувача на утримання орендованого майна (у тому числі місць загального користування та прибудинкової території) та надання комунальних послуг орендарю здійснюється відповідно до договору, укладеного між балансоутримувачем та орендарем.</w:t>
      </w:r>
    </w:p>
    <w:p w:rsidR="000E14A2" w:rsidRDefault="00F27E52" w:rsidP="00F92735">
      <w:pPr>
        <w:pBdr>
          <w:top w:val="nil"/>
          <w:left w:val="nil"/>
          <w:bottom w:val="nil"/>
          <w:right w:val="nil"/>
          <w:between w:val="nil"/>
        </w:pBdr>
        <w:shd w:val="clear" w:color="auto" w:fill="FFFFFF"/>
        <w:spacing w:after="158"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У разі оренди нерухомого майна (крім оренди нерухомого майна орендарями, зазначеними у </w:t>
      </w:r>
      <w:hyperlink r:id="rId7" w:anchor="n49">
        <w:r>
          <w:rPr>
            <w:rFonts w:ascii="Times New Roman" w:eastAsia="Times New Roman" w:hAnsi="Times New Roman" w:cs="Times New Roman"/>
            <w:color w:val="000000"/>
            <w:sz w:val="28"/>
            <w:szCs w:val="28"/>
          </w:rPr>
          <w:t>пункті 13</w:t>
        </w:r>
      </w:hyperlink>
      <w:r>
        <w:rPr>
          <w:rFonts w:ascii="Times New Roman" w:eastAsia="Times New Roman" w:hAnsi="Times New Roman" w:cs="Times New Roman"/>
          <w:color w:val="000000"/>
          <w:sz w:val="28"/>
          <w:szCs w:val="28"/>
        </w:rPr>
        <w:t> цієї Методики) та іншого окремого індивідуально визначеного майна розмір річної орендної плати визначається за формулою:</w:t>
      </w:r>
    </w:p>
    <w:p w:rsidR="000E14A2" w:rsidRDefault="00F27E52">
      <w:pPr>
        <w:shd w:val="clear" w:color="auto" w:fill="FFFFFF"/>
        <w:spacing w:before="158" w:after="158" w:line="240" w:lineRule="auto"/>
        <w:jc w:val="center"/>
        <w:rPr>
          <w:rFonts w:ascii="Times New Roman" w:eastAsia="Times New Roman" w:hAnsi="Times New Roman" w:cs="Times New Roman"/>
          <w:sz w:val="28"/>
          <w:szCs w:val="28"/>
        </w:rPr>
      </w:pPr>
      <w:bookmarkStart w:id="1" w:name="30j0zll" w:colFirst="0" w:colLast="0"/>
      <w:bookmarkEnd w:id="1"/>
      <w:r>
        <w:rPr>
          <w:rFonts w:ascii="Times New Roman" w:eastAsia="Times New Roman" w:hAnsi="Times New Roman" w:cs="Times New Roman"/>
          <w:noProof/>
          <w:sz w:val="28"/>
          <w:szCs w:val="28"/>
          <w:lang w:eastAsia="uk-UA"/>
        </w:rPr>
        <w:drawing>
          <wp:inline distT="0" distB="0" distL="0" distR="0" wp14:anchorId="474CF679" wp14:editId="6E9856CC">
            <wp:extent cx="1245870" cy="441960"/>
            <wp:effectExtent l="0" t="0" r="0" b="0"/>
            <wp:docPr id="1" name="image1.png" descr="https://zakon.rada.gov.ua/laws/file/imgs/90/p506691n226.gif"/>
            <wp:cNvGraphicFramePr/>
            <a:graphic xmlns:a="http://schemas.openxmlformats.org/drawingml/2006/main">
              <a:graphicData uri="http://schemas.openxmlformats.org/drawingml/2006/picture">
                <pic:pic xmlns:pic="http://schemas.openxmlformats.org/drawingml/2006/picture">
                  <pic:nvPicPr>
                    <pic:cNvPr id="0" name="image1.png" descr="https://zakon.rada.gov.ua/laws/file/imgs/90/p506691n226.gif"/>
                    <pic:cNvPicPr preferRelativeResize="0"/>
                  </pic:nvPicPr>
                  <pic:blipFill>
                    <a:blip r:embed="rId8"/>
                    <a:srcRect/>
                    <a:stretch>
                      <a:fillRect/>
                    </a:stretch>
                  </pic:blipFill>
                  <pic:spPr>
                    <a:xfrm>
                      <a:off x="0" y="0"/>
                      <a:ext cx="1245870" cy="441960"/>
                    </a:xfrm>
                    <a:prstGeom prst="rect">
                      <a:avLst/>
                    </a:prstGeom>
                    <a:ln/>
                  </pic:spPr>
                </pic:pic>
              </a:graphicData>
            </a:graphic>
          </wp:inline>
        </w:drawing>
      </w:r>
    </w:p>
    <w:tbl>
      <w:tblPr>
        <w:tblStyle w:val="a5"/>
        <w:tblW w:w="9355" w:type="dxa"/>
        <w:jc w:val="center"/>
        <w:tblInd w:w="0" w:type="dxa"/>
        <w:tblLayout w:type="fixed"/>
        <w:tblLook w:val="0400" w:firstRow="0" w:lastRow="0" w:firstColumn="0" w:lastColumn="0" w:noHBand="0" w:noVBand="1"/>
      </w:tblPr>
      <w:tblGrid>
        <w:gridCol w:w="518"/>
        <w:gridCol w:w="1050"/>
        <w:gridCol w:w="7787"/>
      </w:tblGrid>
      <w:tr w:rsidR="000E14A2">
        <w:trPr>
          <w:jc w:val="center"/>
        </w:trPr>
        <w:tc>
          <w:tcPr>
            <w:tcW w:w="518" w:type="dxa"/>
          </w:tcPr>
          <w:p w:rsidR="000E14A2" w:rsidRDefault="00F27E52">
            <w:pPr>
              <w:spacing w:after="158" w:line="240" w:lineRule="auto"/>
              <w:ind w:firstLine="475"/>
              <w:jc w:val="both"/>
              <w:rPr>
                <w:rFonts w:ascii="Times New Roman" w:eastAsia="Times New Roman" w:hAnsi="Times New Roman" w:cs="Times New Roman"/>
                <w:sz w:val="28"/>
                <w:szCs w:val="28"/>
              </w:rPr>
            </w:pPr>
            <w:bookmarkStart w:id="2" w:name="1fob9te" w:colFirst="0" w:colLast="0"/>
            <w:bookmarkEnd w:id="2"/>
            <w:r>
              <w:rPr>
                <w:rFonts w:ascii="Times New Roman" w:eastAsia="Times New Roman" w:hAnsi="Times New Roman" w:cs="Times New Roman"/>
                <w:sz w:val="28"/>
                <w:szCs w:val="28"/>
              </w:rPr>
              <w:t>Д де</w:t>
            </w:r>
          </w:p>
        </w:tc>
        <w:tc>
          <w:tcPr>
            <w:tcW w:w="1050"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uk-UA"/>
              </w:rPr>
              <w:drawing>
                <wp:inline distT="0" distB="0" distL="0" distR="0" wp14:anchorId="6546BDF4" wp14:editId="65F21E6B">
                  <wp:extent cx="220980" cy="200660"/>
                  <wp:effectExtent l="0" t="0" r="0" b="0"/>
                  <wp:docPr id="3" name="image3.png" descr="https://zakon.rada.gov.ua/laws/file/imgs/90/p506691n228-1.gif"/>
                  <wp:cNvGraphicFramePr/>
                  <a:graphic xmlns:a="http://schemas.openxmlformats.org/drawingml/2006/main">
                    <a:graphicData uri="http://schemas.openxmlformats.org/drawingml/2006/picture">
                      <pic:pic xmlns:pic="http://schemas.openxmlformats.org/drawingml/2006/picture">
                        <pic:nvPicPr>
                          <pic:cNvPr id="0" name="image3.png" descr="https://zakon.rada.gov.ua/laws/file/imgs/90/p506691n228-1.gif"/>
                          <pic:cNvPicPr preferRelativeResize="0"/>
                        </pic:nvPicPr>
                        <pic:blipFill>
                          <a:blip r:embed="rId9"/>
                          <a:srcRect/>
                          <a:stretch>
                            <a:fillRect/>
                          </a:stretch>
                        </pic:blipFill>
                        <pic:spPr>
                          <a:xfrm>
                            <a:off x="0" y="0"/>
                            <a:ext cx="220980" cy="200660"/>
                          </a:xfrm>
                          <a:prstGeom prst="rect">
                            <a:avLst/>
                          </a:prstGeom>
                          <a:ln/>
                        </pic:spPr>
                      </pic:pic>
                    </a:graphicData>
                  </a:graphic>
                </wp:inline>
              </w:drawing>
            </w:r>
          </w:p>
        </w:tc>
        <w:tc>
          <w:tcPr>
            <w:tcW w:w="7787" w:type="dxa"/>
          </w:tcPr>
          <w:p w:rsidR="000E14A2" w:rsidRDefault="00F27E52">
            <w:pPr>
              <w:spacing w:after="158"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розмір річної орендної плати, гривень;</w:t>
            </w:r>
          </w:p>
        </w:tc>
      </w:tr>
      <w:tr w:rsidR="000E14A2">
        <w:trPr>
          <w:jc w:val="center"/>
        </w:trPr>
        <w:tc>
          <w:tcPr>
            <w:tcW w:w="518" w:type="dxa"/>
          </w:tcPr>
          <w:p w:rsidR="000E14A2" w:rsidRDefault="000E14A2">
            <w:pPr>
              <w:spacing w:after="0" w:line="240" w:lineRule="auto"/>
              <w:rPr>
                <w:rFonts w:ascii="Times New Roman" w:eastAsia="Times New Roman" w:hAnsi="Times New Roman" w:cs="Times New Roman"/>
                <w:sz w:val="28"/>
                <w:szCs w:val="28"/>
              </w:rPr>
            </w:pPr>
          </w:p>
        </w:tc>
        <w:tc>
          <w:tcPr>
            <w:tcW w:w="1050"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uk-UA"/>
              </w:rPr>
              <w:drawing>
                <wp:inline distT="0" distB="0" distL="0" distR="0" wp14:anchorId="1485D47A" wp14:editId="6D350B7C">
                  <wp:extent cx="170815" cy="170815"/>
                  <wp:effectExtent l="0" t="0" r="0" b="0"/>
                  <wp:docPr id="2" name="image2.png" descr="https://zakon.rada.gov.ua/laws/file/imgs/90/p506691n228-2.gif"/>
                  <wp:cNvGraphicFramePr/>
                  <a:graphic xmlns:a="http://schemas.openxmlformats.org/drawingml/2006/main">
                    <a:graphicData uri="http://schemas.openxmlformats.org/drawingml/2006/picture">
                      <pic:pic xmlns:pic="http://schemas.openxmlformats.org/drawingml/2006/picture">
                        <pic:nvPicPr>
                          <pic:cNvPr id="0" name="image2.png" descr="https://zakon.rada.gov.ua/laws/file/imgs/90/p506691n228-2.gif"/>
                          <pic:cNvPicPr preferRelativeResize="0"/>
                        </pic:nvPicPr>
                        <pic:blipFill>
                          <a:blip r:embed="rId10"/>
                          <a:srcRect/>
                          <a:stretch>
                            <a:fillRect/>
                          </a:stretch>
                        </pic:blipFill>
                        <pic:spPr>
                          <a:xfrm>
                            <a:off x="0" y="0"/>
                            <a:ext cx="170815" cy="170815"/>
                          </a:xfrm>
                          <a:prstGeom prst="rect">
                            <a:avLst/>
                          </a:prstGeom>
                          <a:ln/>
                        </pic:spPr>
                      </pic:pic>
                    </a:graphicData>
                  </a:graphic>
                </wp:inline>
              </w:drawing>
            </w:r>
          </w:p>
        </w:tc>
        <w:tc>
          <w:tcPr>
            <w:tcW w:w="7787" w:type="dxa"/>
          </w:tcPr>
          <w:p w:rsidR="000E14A2" w:rsidRDefault="00F27E52">
            <w:pPr>
              <w:spacing w:after="158"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вартість орендованого майна, визначена шляхом проведення незалежної оцінки (без урахування податку на додану вартість), гривень;</w:t>
            </w:r>
          </w:p>
        </w:tc>
      </w:tr>
      <w:tr w:rsidR="000E14A2">
        <w:trPr>
          <w:jc w:val="center"/>
        </w:trPr>
        <w:tc>
          <w:tcPr>
            <w:tcW w:w="518" w:type="dxa"/>
          </w:tcPr>
          <w:p w:rsidR="000E14A2" w:rsidRDefault="000E14A2">
            <w:pPr>
              <w:spacing w:after="0" w:line="240" w:lineRule="auto"/>
              <w:rPr>
                <w:rFonts w:ascii="Times New Roman" w:eastAsia="Times New Roman" w:hAnsi="Times New Roman" w:cs="Times New Roman"/>
                <w:sz w:val="28"/>
                <w:szCs w:val="28"/>
              </w:rPr>
            </w:pPr>
          </w:p>
        </w:tc>
        <w:tc>
          <w:tcPr>
            <w:tcW w:w="1050"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uk-UA"/>
              </w:rPr>
              <w:drawing>
                <wp:inline distT="0" distB="0" distL="0" distR="0" wp14:anchorId="2706729C" wp14:editId="3D6786FD">
                  <wp:extent cx="210820" cy="210820"/>
                  <wp:effectExtent l="0" t="0" r="0" b="0"/>
                  <wp:docPr id="5" name="image5.png" descr="https://zakon.rada.gov.ua/laws/file/imgs/90/p506691n228-3.gif"/>
                  <wp:cNvGraphicFramePr/>
                  <a:graphic xmlns:a="http://schemas.openxmlformats.org/drawingml/2006/main">
                    <a:graphicData uri="http://schemas.openxmlformats.org/drawingml/2006/picture">
                      <pic:pic xmlns:pic="http://schemas.openxmlformats.org/drawingml/2006/picture">
                        <pic:nvPicPr>
                          <pic:cNvPr id="0" name="image5.png" descr="https://zakon.rada.gov.ua/laws/file/imgs/90/p506691n228-3.gif"/>
                          <pic:cNvPicPr preferRelativeResize="0"/>
                        </pic:nvPicPr>
                        <pic:blipFill>
                          <a:blip r:embed="rId11"/>
                          <a:srcRect/>
                          <a:stretch>
                            <a:fillRect/>
                          </a:stretch>
                        </pic:blipFill>
                        <pic:spPr>
                          <a:xfrm>
                            <a:off x="0" y="0"/>
                            <a:ext cx="210820" cy="210820"/>
                          </a:xfrm>
                          <a:prstGeom prst="rect">
                            <a:avLst/>
                          </a:prstGeom>
                          <a:ln/>
                        </pic:spPr>
                      </pic:pic>
                    </a:graphicData>
                  </a:graphic>
                </wp:inline>
              </w:drawing>
            </w:r>
          </w:p>
        </w:tc>
        <w:tc>
          <w:tcPr>
            <w:tcW w:w="7787" w:type="dxa"/>
          </w:tcPr>
          <w:p w:rsidR="000E14A2" w:rsidRDefault="00F27E52" w:rsidP="0024489E">
            <w:pPr>
              <w:spacing w:after="158"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орендна ставка, визначена згідно з</w:t>
            </w:r>
            <w:r w:rsidR="0024489E">
              <w:rPr>
                <w:rFonts w:ascii="Times New Roman" w:eastAsia="Times New Roman" w:hAnsi="Times New Roman" w:cs="Times New Roman"/>
                <w:sz w:val="28"/>
                <w:szCs w:val="28"/>
              </w:rPr>
              <w:t xml:space="preserve"> </w:t>
            </w:r>
            <w:hyperlink r:id="rId12" w:anchor="n76">
              <w:r>
                <w:rPr>
                  <w:rFonts w:ascii="Times New Roman" w:eastAsia="Times New Roman" w:hAnsi="Times New Roman" w:cs="Times New Roman"/>
                  <w:sz w:val="28"/>
                  <w:szCs w:val="28"/>
                </w:rPr>
                <w:t>додатком 1</w:t>
              </w:r>
            </w:hyperlink>
            <w:r w:rsidR="0024489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 разі укладення договору з орендарем відповідно до</w:t>
            </w:r>
            <w:r w:rsidR="0024489E">
              <w:rPr>
                <w:rFonts w:ascii="Times New Roman" w:eastAsia="Times New Roman" w:hAnsi="Times New Roman" w:cs="Times New Roman"/>
                <w:sz w:val="28"/>
                <w:szCs w:val="28"/>
              </w:rPr>
              <w:t xml:space="preserve"> </w:t>
            </w:r>
            <w:hyperlink r:id="rId13" w:anchor="n299">
              <w:r>
                <w:rPr>
                  <w:rFonts w:ascii="Times New Roman" w:eastAsia="Times New Roman" w:hAnsi="Times New Roman" w:cs="Times New Roman"/>
                  <w:sz w:val="28"/>
                  <w:szCs w:val="28"/>
                </w:rPr>
                <w:t>статті 15</w:t>
              </w:r>
            </w:hyperlink>
            <w:r w:rsidR="0024489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Закону) або</w:t>
            </w:r>
            <w:r w:rsidR="0024489E">
              <w:rPr>
                <w:rFonts w:ascii="Times New Roman" w:eastAsia="Times New Roman" w:hAnsi="Times New Roman" w:cs="Times New Roman"/>
                <w:sz w:val="28"/>
                <w:szCs w:val="28"/>
              </w:rPr>
              <w:t xml:space="preserve"> </w:t>
            </w:r>
            <w:hyperlink r:id="rId14" w:anchor="n79">
              <w:r>
                <w:rPr>
                  <w:rFonts w:ascii="Times New Roman" w:eastAsia="Times New Roman" w:hAnsi="Times New Roman" w:cs="Times New Roman"/>
                  <w:sz w:val="28"/>
                  <w:szCs w:val="28"/>
                </w:rPr>
                <w:t>додатком 2</w:t>
              </w:r>
            </w:hyperlink>
            <w:r w:rsidR="0024489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(для договорів оренди, які продовжуються вперше) або</w:t>
            </w:r>
            <w:r w:rsidR="0024489E">
              <w:rPr>
                <w:rFonts w:ascii="Times New Roman" w:eastAsia="Times New Roman" w:hAnsi="Times New Roman" w:cs="Times New Roman"/>
                <w:sz w:val="28"/>
                <w:szCs w:val="28"/>
              </w:rPr>
              <w:t xml:space="preserve"> </w:t>
            </w:r>
            <w:hyperlink r:id="rId15" w:anchor="n62">
              <w:r>
                <w:rPr>
                  <w:rFonts w:ascii="Times New Roman" w:eastAsia="Times New Roman" w:hAnsi="Times New Roman" w:cs="Times New Roman"/>
                  <w:sz w:val="28"/>
                  <w:szCs w:val="28"/>
                </w:rPr>
                <w:t>пунктом 14</w:t>
              </w:r>
            </w:hyperlink>
            <w:r w:rsidR="0024489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цієї Методики для іншого окремого індивідуально визначеного майна.</w:t>
            </w:r>
          </w:p>
        </w:tc>
      </w:tr>
    </w:tbl>
    <w:p w:rsidR="000E14A2" w:rsidRDefault="00F27E52">
      <w:pPr>
        <w:shd w:val="clear" w:color="auto" w:fill="FFFFFF"/>
        <w:spacing w:after="158" w:line="240" w:lineRule="auto"/>
        <w:ind w:firstLine="475"/>
        <w:jc w:val="both"/>
        <w:rPr>
          <w:rFonts w:ascii="Times New Roman" w:eastAsia="Times New Roman" w:hAnsi="Times New Roman" w:cs="Times New Roman"/>
          <w:sz w:val="28"/>
          <w:szCs w:val="28"/>
        </w:rPr>
      </w:pPr>
      <w:bookmarkStart w:id="3" w:name="3znysh7" w:colFirst="0" w:colLast="0"/>
      <w:bookmarkEnd w:id="3"/>
      <w:r>
        <w:rPr>
          <w:rFonts w:ascii="Times New Roman" w:eastAsia="Times New Roman" w:hAnsi="Times New Roman" w:cs="Times New Roman"/>
          <w:sz w:val="28"/>
          <w:szCs w:val="28"/>
        </w:rPr>
        <w:t>7. Розмір орендної плати за базовий місяць оренди нерухомого та іншого окремого індивідуально визначеного майна визначається за формулою:</w:t>
      </w:r>
    </w:p>
    <w:p w:rsidR="000E14A2" w:rsidRDefault="00F27E52">
      <w:pPr>
        <w:shd w:val="clear" w:color="auto" w:fill="FFFFFF"/>
        <w:spacing w:before="158" w:after="158" w:line="240" w:lineRule="auto"/>
        <w:jc w:val="center"/>
        <w:rPr>
          <w:rFonts w:ascii="Times New Roman" w:eastAsia="Times New Roman" w:hAnsi="Times New Roman" w:cs="Times New Roman"/>
          <w:sz w:val="28"/>
          <w:szCs w:val="28"/>
        </w:rPr>
      </w:pPr>
      <w:bookmarkStart w:id="4" w:name="2et92p0" w:colFirst="0" w:colLast="0"/>
      <w:bookmarkEnd w:id="4"/>
      <w:r>
        <w:rPr>
          <w:rFonts w:ascii="Times New Roman" w:eastAsia="Times New Roman" w:hAnsi="Times New Roman" w:cs="Times New Roman"/>
          <w:noProof/>
          <w:sz w:val="28"/>
          <w:szCs w:val="28"/>
          <w:lang w:eastAsia="uk-UA"/>
        </w:rPr>
        <w:drawing>
          <wp:inline distT="0" distB="0" distL="0" distR="0" wp14:anchorId="47B27A37" wp14:editId="250775CF">
            <wp:extent cx="964565" cy="431800"/>
            <wp:effectExtent l="0" t="0" r="0" b="0"/>
            <wp:docPr id="4" name="image4.png" descr="https://zakon.rada.gov.ua/laws/file/imgs/90/p506691n25-4.gif"/>
            <wp:cNvGraphicFramePr/>
            <a:graphic xmlns:a="http://schemas.openxmlformats.org/drawingml/2006/main">
              <a:graphicData uri="http://schemas.openxmlformats.org/drawingml/2006/picture">
                <pic:pic xmlns:pic="http://schemas.openxmlformats.org/drawingml/2006/picture">
                  <pic:nvPicPr>
                    <pic:cNvPr id="0" name="image4.png" descr="https://zakon.rada.gov.ua/laws/file/imgs/90/p506691n25-4.gif"/>
                    <pic:cNvPicPr preferRelativeResize="0"/>
                  </pic:nvPicPr>
                  <pic:blipFill>
                    <a:blip r:embed="rId16"/>
                    <a:srcRect/>
                    <a:stretch>
                      <a:fillRect/>
                    </a:stretch>
                  </pic:blipFill>
                  <pic:spPr>
                    <a:xfrm>
                      <a:off x="0" y="0"/>
                      <a:ext cx="964565" cy="431800"/>
                    </a:xfrm>
                    <a:prstGeom prst="rect">
                      <a:avLst/>
                    </a:prstGeom>
                    <a:ln/>
                  </pic:spPr>
                </pic:pic>
              </a:graphicData>
            </a:graphic>
          </wp:inline>
        </w:drawing>
      </w:r>
    </w:p>
    <w:tbl>
      <w:tblPr>
        <w:tblStyle w:val="a6"/>
        <w:tblW w:w="9355" w:type="dxa"/>
        <w:jc w:val="center"/>
        <w:tblInd w:w="0" w:type="dxa"/>
        <w:tblLayout w:type="fixed"/>
        <w:tblLook w:val="0400" w:firstRow="0" w:lastRow="0" w:firstColumn="0" w:lastColumn="0" w:noHBand="0" w:noVBand="1"/>
      </w:tblPr>
      <w:tblGrid>
        <w:gridCol w:w="533"/>
        <w:gridCol w:w="1222"/>
        <w:gridCol w:w="7600"/>
      </w:tblGrid>
      <w:tr w:rsidR="000E14A2">
        <w:trPr>
          <w:jc w:val="center"/>
        </w:trPr>
        <w:tc>
          <w:tcPr>
            <w:tcW w:w="533" w:type="dxa"/>
          </w:tcPr>
          <w:p w:rsidR="000E14A2" w:rsidRDefault="00F27E52">
            <w:pPr>
              <w:spacing w:before="158" w:after="158" w:line="240" w:lineRule="auto"/>
              <w:jc w:val="center"/>
              <w:rPr>
                <w:rFonts w:ascii="Times New Roman" w:eastAsia="Times New Roman" w:hAnsi="Times New Roman" w:cs="Times New Roman"/>
                <w:sz w:val="28"/>
                <w:szCs w:val="28"/>
              </w:rPr>
            </w:pPr>
            <w:bookmarkStart w:id="5" w:name="tyjcwt" w:colFirst="0" w:colLast="0"/>
            <w:bookmarkEnd w:id="5"/>
            <w:r>
              <w:rPr>
                <w:rFonts w:ascii="Times New Roman" w:eastAsia="Times New Roman" w:hAnsi="Times New Roman" w:cs="Times New Roman"/>
                <w:sz w:val="28"/>
                <w:szCs w:val="28"/>
              </w:rPr>
              <w:t>де</w:t>
            </w:r>
          </w:p>
        </w:tc>
        <w:tc>
          <w:tcPr>
            <w:tcW w:w="1222"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uk-UA"/>
              </w:rPr>
              <w:drawing>
                <wp:inline distT="0" distB="0" distL="0" distR="0" wp14:anchorId="2A3F5A45" wp14:editId="5B76DB43">
                  <wp:extent cx="361950" cy="200660"/>
                  <wp:effectExtent l="0" t="0" r="0" b="0"/>
                  <wp:docPr id="7" name="image7.png" descr="https://zakon.rada.gov.ua/laws/file/imgs/90/p506691n230-5.gif"/>
                  <wp:cNvGraphicFramePr/>
                  <a:graphic xmlns:a="http://schemas.openxmlformats.org/drawingml/2006/main">
                    <a:graphicData uri="http://schemas.openxmlformats.org/drawingml/2006/picture">
                      <pic:pic xmlns:pic="http://schemas.openxmlformats.org/drawingml/2006/picture">
                        <pic:nvPicPr>
                          <pic:cNvPr id="0" name="image7.png" descr="https://zakon.rada.gov.ua/laws/file/imgs/90/p506691n230-5.gif"/>
                          <pic:cNvPicPr preferRelativeResize="0"/>
                        </pic:nvPicPr>
                        <pic:blipFill>
                          <a:blip r:embed="rId17"/>
                          <a:srcRect/>
                          <a:stretch>
                            <a:fillRect/>
                          </a:stretch>
                        </pic:blipFill>
                        <pic:spPr>
                          <a:xfrm>
                            <a:off x="0" y="0"/>
                            <a:ext cx="361950" cy="200660"/>
                          </a:xfrm>
                          <a:prstGeom prst="rect">
                            <a:avLst/>
                          </a:prstGeom>
                          <a:ln/>
                        </pic:spPr>
                      </pic:pic>
                    </a:graphicData>
                  </a:graphic>
                </wp:inline>
              </w:drawing>
            </w:r>
          </w:p>
        </w:tc>
        <w:tc>
          <w:tcPr>
            <w:tcW w:w="7600"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розмір місячної орендної плати, гривень.</w:t>
            </w:r>
          </w:p>
        </w:tc>
      </w:tr>
    </w:tbl>
    <w:p w:rsidR="000E14A2" w:rsidRDefault="00F27E52">
      <w:pPr>
        <w:shd w:val="clear" w:color="auto" w:fill="FFFFFF"/>
        <w:spacing w:after="158" w:line="240" w:lineRule="auto"/>
        <w:ind w:firstLine="475"/>
        <w:jc w:val="both"/>
        <w:rPr>
          <w:rFonts w:ascii="Times New Roman" w:eastAsia="Times New Roman" w:hAnsi="Times New Roman" w:cs="Times New Roman"/>
          <w:sz w:val="28"/>
          <w:szCs w:val="28"/>
        </w:rPr>
      </w:pPr>
      <w:bookmarkStart w:id="6" w:name="3dy6vkm" w:colFirst="0" w:colLast="0"/>
      <w:bookmarkEnd w:id="6"/>
      <w:r>
        <w:rPr>
          <w:rFonts w:ascii="Times New Roman" w:eastAsia="Times New Roman" w:hAnsi="Times New Roman" w:cs="Times New Roman"/>
          <w:sz w:val="28"/>
          <w:szCs w:val="28"/>
        </w:rPr>
        <w:t>У разі коли між датою визначення орендної плати за базовий місяць і датою підписання акта приймання-передачі майна минуло більше ніж один повний календарний місяць, розмір орендної плати за перший місяць оренди встановлюється шляхом коригування орендної плати за базовий місяць на індекс інфляції у місяцях, що минули з дати визначення орендної плати за базовий місяць.</w:t>
      </w:r>
    </w:p>
    <w:p w:rsidR="000E14A2" w:rsidRDefault="00F27E52">
      <w:pPr>
        <w:shd w:val="clear" w:color="auto" w:fill="FFFFFF"/>
        <w:spacing w:after="158"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Розмір добової орендної плати розраховується на основі розміру місячної орендної плати з розрахунку кількості календарних днів у місяці фактичного користування за формулою:</w:t>
      </w:r>
    </w:p>
    <w:p w:rsidR="000E14A2" w:rsidRDefault="00F27E52">
      <w:pPr>
        <w:shd w:val="clear" w:color="auto" w:fill="FFFFFF"/>
        <w:spacing w:before="158" w:after="158" w:line="240" w:lineRule="auto"/>
        <w:jc w:val="center"/>
        <w:rPr>
          <w:rFonts w:ascii="Times New Roman" w:eastAsia="Times New Roman" w:hAnsi="Times New Roman" w:cs="Times New Roman"/>
          <w:sz w:val="28"/>
          <w:szCs w:val="28"/>
        </w:rPr>
      </w:pPr>
      <w:bookmarkStart w:id="7" w:name="1t3h5sf" w:colFirst="0" w:colLast="0"/>
      <w:bookmarkEnd w:id="7"/>
      <w:r>
        <w:rPr>
          <w:rFonts w:ascii="Times New Roman" w:eastAsia="Times New Roman" w:hAnsi="Times New Roman" w:cs="Times New Roman"/>
          <w:noProof/>
          <w:sz w:val="28"/>
          <w:szCs w:val="28"/>
          <w:lang w:eastAsia="uk-UA"/>
        </w:rPr>
        <w:drawing>
          <wp:inline distT="0" distB="0" distL="0" distR="0" wp14:anchorId="79C67D24" wp14:editId="4EBBCC2F">
            <wp:extent cx="1256030" cy="441960"/>
            <wp:effectExtent l="0" t="0" r="0" b="0"/>
            <wp:docPr id="6" name="image6.png" descr="https://zakon.rada.gov.ua/laws/file/imgs/90/p506691n29-6.gif"/>
            <wp:cNvGraphicFramePr/>
            <a:graphic xmlns:a="http://schemas.openxmlformats.org/drawingml/2006/main">
              <a:graphicData uri="http://schemas.openxmlformats.org/drawingml/2006/picture">
                <pic:pic xmlns:pic="http://schemas.openxmlformats.org/drawingml/2006/picture">
                  <pic:nvPicPr>
                    <pic:cNvPr id="0" name="image6.png" descr="https://zakon.rada.gov.ua/laws/file/imgs/90/p506691n29-6.gif"/>
                    <pic:cNvPicPr preferRelativeResize="0"/>
                  </pic:nvPicPr>
                  <pic:blipFill>
                    <a:blip r:embed="rId18"/>
                    <a:srcRect/>
                    <a:stretch>
                      <a:fillRect/>
                    </a:stretch>
                  </pic:blipFill>
                  <pic:spPr>
                    <a:xfrm>
                      <a:off x="0" y="0"/>
                      <a:ext cx="1256030" cy="441960"/>
                    </a:xfrm>
                    <a:prstGeom prst="rect">
                      <a:avLst/>
                    </a:prstGeom>
                    <a:ln/>
                  </pic:spPr>
                </pic:pic>
              </a:graphicData>
            </a:graphic>
          </wp:inline>
        </w:drawing>
      </w:r>
    </w:p>
    <w:tbl>
      <w:tblPr>
        <w:tblStyle w:val="a7"/>
        <w:tblW w:w="9355" w:type="dxa"/>
        <w:jc w:val="center"/>
        <w:tblInd w:w="0" w:type="dxa"/>
        <w:tblLayout w:type="fixed"/>
        <w:tblLook w:val="0400" w:firstRow="0" w:lastRow="0" w:firstColumn="0" w:lastColumn="0" w:noHBand="0" w:noVBand="1"/>
      </w:tblPr>
      <w:tblGrid>
        <w:gridCol w:w="517"/>
        <w:gridCol w:w="1205"/>
        <w:gridCol w:w="7633"/>
      </w:tblGrid>
      <w:tr w:rsidR="000E14A2">
        <w:trPr>
          <w:jc w:val="center"/>
        </w:trPr>
        <w:tc>
          <w:tcPr>
            <w:tcW w:w="517" w:type="dxa"/>
          </w:tcPr>
          <w:p w:rsidR="000E14A2" w:rsidRDefault="00F27E52">
            <w:pPr>
              <w:spacing w:before="158" w:after="158" w:line="240" w:lineRule="auto"/>
              <w:jc w:val="center"/>
              <w:rPr>
                <w:rFonts w:ascii="Times New Roman" w:eastAsia="Times New Roman" w:hAnsi="Times New Roman" w:cs="Times New Roman"/>
                <w:sz w:val="28"/>
                <w:szCs w:val="28"/>
              </w:rPr>
            </w:pPr>
            <w:bookmarkStart w:id="8" w:name="4d34og8" w:colFirst="0" w:colLast="0"/>
            <w:bookmarkEnd w:id="8"/>
            <w:r>
              <w:rPr>
                <w:rFonts w:ascii="Times New Roman" w:eastAsia="Times New Roman" w:hAnsi="Times New Roman" w:cs="Times New Roman"/>
                <w:sz w:val="28"/>
                <w:szCs w:val="28"/>
              </w:rPr>
              <w:t>де</w:t>
            </w:r>
          </w:p>
        </w:tc>
        <w:tc>
          <w:tcPr>
            <w:tcW w:w="1205"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uk-UA"/>
              </w:rPr>
              <w:drawing>
                <wp:inline distT="0" distB="0" distL="0" distR="0" wp14:anchorId="1594F587" wp14:editId="0E9BF657">
                  <wp:extent cx="381635" cy="200660"/>
                  <wp:effectExtent l="0" t="0" r="0" b="0"/>
                  <wp:docPr id="9" name="image9.png" descr="https://zakon.rada.gov.ua/laws/file/imgs/90/p506691n232-7.gif"/>
                  <wp:cNvGraphicFramePr/>
                  <a:graphic xmlns:a="http://schemas.openxmlformats.org/drawingml/2006/main">
                    <a:graphicData uri="http://schemas.openxmlformats.org/drawingml/2006/picture">
                      <pic:pic xmlns:pic="http://schemas.openxmlformats.org/drawingml/2006/picture">
                        <pic:nvPicPr>
                          <pic:cNvPr id="0" name="image9.png" descr="https://zakon.rada.gov.ua/laws/file/imgs/90/p506691n232-7.gif"/>
                          <pic:cNvPicPr preferRelativeResize="0"/>
                        </pic:nvPicPr>
                        <pic:blipFill>
                          <a:blip r:embed="rId19"/>
                          <a:srcRect/>
                          <a:stretch>
                            <a:fillRect/>
                          </a:stretch>
                        </pic:blipFill>
                        <pic:spPr>
                          <a:xfrm>
                            <a:off x="0" y="0"/>
                            <a:ext cx="381635" cy="200660"/>
                          </a:xfrm>
                          <a:prstGeom prst="rect">
                            <a:avLst/>
                          </a:prstGeom>
                          <a:ln/>
                        </pic:spPr>
                      </pic:pic>
                    </a:graphicData>
                  </a:graphic>
                </wp:inline>
              </w:drawing>
            </w:r>
          </w:p>
        </w:tc>
        <w:tc>
          <w:tcPr>
            <w:tcW w:w="7633"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розмір добової орендної плати, гривень;</w:t>
            </w:r>
          </w:p>
        </w:tc>
      </w:tr>
      <w:tr w:rsidR="000E14A2">
        <w:trPr>
          <w:jc w:val="center"/>
        </w:trPr>
        <w:tc>
          <w:tcPr>
            <w:tcW w:w="517" w:type="dxa"/>
          </w:tcPr>
          <w:p w:rsidR="000E14A2" w:rsidRDefault="000E14A2">
            <w:pPr>
              <w:spacing w:after="0" w:line="240" w:lineRule="auto"/>
              <w:rPr>
                <w:rFonts w:ascii="Times New Roman" w:eastAsia="Times New Roman" w:hAnsi="Times New Roman" w:cs="Times New Roman"/>
                <w:sz w:val="28"/>
                <w:szCs w:val="28"/>
              </w:rPr>
            </w:pPr>
          </w:p>
        </w:tc>
        <w:tc>
          <w:tcPr>
            <w:tcW w:w="1205"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Х</w:t>
            </w:r>
          </w:p>
        </w:tc>
        <w:tc>
          <w:tcPr>
            <w:tcW w:w="7633"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кількість календарних днів у місяці фактичного користування.</w:t>
            </w:r>
          </w:p>
        </w:tc>
      </w:tr>
    </w:tbl>
    <w:p w:rsidR="000E14A2" w:rsidRDefault="00F27E52">
      <w:pPr>
        <w:shd w:val="clear" w:color="auto" w:fill="FFFFFF"/>
        <w:spacing w:after="158" w:line="240" w:lineRule="auto"/>
        <w:ind w:firstLine="475"/>
        <w:jc w:val="both"/>
        <w:rPr>
          <w:rFonts w:ascii="Times New Roman" w:eastAsia="Times New Roman" w:hAnsi="Times New Roman" w:cs="Times New Roman"/>
          <w:sz w:val="28"/>
          <w:szCs w:val="28"/>
        </w:rPr>
      </w:pPr>
      <w:bookmarkStart w:id="9" w:name="2s8eyo1" w:colFirst="0" w:colLast="0"/>
      <w:bookmarkEnd w:id="9"/>
      <w:r>
        <w:rPr>
          <w:rFonts w:ascii="Times New Roman" w:eastAsia="Times New Roman" w:hAnsi="Times New Roman" w:cs="Times New Roman"/>
          <w:sz w:val="28"/>
          <w:szCs w:val="28"/>
        </w:rPr>
        <w:t>9. Розмір погодинної орендної плати за об’єкт оренди розраховується на основі розміру добової орендної плати із розрахунку 24 години на добу за формулою:</w:t>
      </w:r>
    </w:p>
    <w:p w:rsidR="000E14A2" w:rsidRDefault="00F27E52">
      <w:pPr>
        <w:shd w:val="clear" w:color="auto" w:fill="FFFFFF"/>
        <w:spacing w:before="158" w:after="158" w:line="240" w:lineRule="auto"/>
        <w:jc w:val="center"/>
        <w:rPr>
          <w:rFonts w:ascii="Times New Roman" w:eastAsia="Times New Roman" w:hAnsi="Times New Roman" w:cs="Times New Roman"/>
          <w:sz w:val="28"/>
          <w:szCs w:val="28"/>
        </w:rPr>
      </w:pPr>
      <w:bookmarkStart w:id="10" w:name="17dp8vu" w:colFirst="0" w:colLast="0"/>
      <w:bookmarkEnd w:id="10"/>
      <w:r>
        <w:rPr>
          <w:rFonts w:ascii="Times New Roman" w:eastAsia="Times New Roman" w:hAnsi="Times New Roman" w:cs="Times New Roman"/>
          <w:noProof/>
          <w:sz w:val="28"/>
          <w:szCs w:val="28"/>
          <w:lang w:eastAsia="uk-UA"/>
        </w:rPr>
        <w:drawing>
          <wp:inline distT="0" distB="0" distL="0" distR="0" wp14:anchorId="10462739" wp14:editId="6E5B7159">
            <wp:extent cx="1678305" cy="462280"/>
            <wp:effectExtent l="0" t="0" r="0" b="0"/>
            <wp:docPr id="8" name="image8.png" descr="https://zakon.rada.gov.ua/laws/file/imgs/90/p506691n33-8.gif"/>
            <wp:cNvGraphicFramePr/>
            <a:graphic xmlns:a="http://schemas.openxmlformats.org/drawingml/2006/main">
              <a:graphicData uri="http://schemas.openxmlformats.org/drawingml/2006/picture">
                <pic:pic xmlns:pic="http://schemas.openxmlformats.org/drawingml/2006/picture">
                  <pic:nvPicPr>
                    <pic:cNvPr id="0" name="image8.png" descr="https://zakon.rada.gov.ua/laws/file/imgs/90/p506691n33-8.gif"/>
                    <pic:cNvPicPr preferRelativeResize="0"/>
                  </pic:nvPicPr>
                  <pic:blipFill>
                    <a:blip r:embed="rId20"/>
                    <a:srcRect/>
                    <a:stretch>
                      <a:fillRect/>
                    </a:stretch>
                  </pic:blipFill>
                  <pic:spPr>
                    <a:xfrm>
                      <a:off x="0" y="0"/>
                      <a:ext cx="1678305" cy="462280"/>
                    </a:xfrm>
                    <a:prstGeom prst="rect">
                      <a:avLst/>
                    </a:prstGeom>
                    <a:ln/>
                  </pic:spPr>
                </pic:pic>
              </a:graphicData>
            </a:graphic>
          </wp:inline>
        </w:drawing>
      </w:r>
    </w:p>
    <w:tbl>
      <w:tblPr>
        <w:tblStyle w:val="a8"/>
        <w:tblW w:w="9355" w:type="dxa"/>
        <w:jc w:val="center"/>
        <w:tblInd w:w="0" w:type="dxa"/>
        <w:tblLayout w:type="fixed"/>
        <w:tblLook w:val="0400" w:firstRow="0" w:lastRow="0" w:firstColumn="0" w:lastColumn="0" w:noHBand="0" w:noVBand="1"/>
      </w:tblPr>
      <w:tblGrid>
        <w:gridCol w:w="516"/>
        <w:gridCol w:w="1223"/>
        <w:gridCol w:w="7616"/>
      </w:tblGrid>
      <w:tr w:rsidR="000E14A2">
        <w:trPr>
          <w:jc w:val="center"/>
        </w:trPr>
        <w:tc>
          <w:tcPr>
            <w:tcW w:w="516" w:type="dxa"/>
          </w:tcPr>
          <w:p w:rsidR="000E14A2" w:rsidRDefault="00F27E52">
            <w:pPr>
              <w:spacing w:before="158" w:after="158" w:line="240" w:lineRule="auto"/>
              <w:jc w:val="center"/>
              <w:rPr>
                <w:rFonts w:ascii="Times New Roman" w:eastAsia="Times New Roman" w:hAnsi="Times New Roman" w:cs="Times New Roman"/>
                <w:sz w:val="28"/>
                <w:szCs w:val="28"/>
              </w:rPr>
            </w:pPr>
            <w:bookmarkStart w:id="11" w:name="3rdcrjn" w:colFirst="0" w:colLast="0"/>
            <w:bookmarkEnd w:id="11"/>
            <w:r>
              <w:rPr>
                <w:rFonts w:ascii="Times New Roman" w:eastAsia="Times New Roman" w:hAnsi="Times New Roman" w:cs="Times New Roman"/>
                <w:sz w:val="28"/>
                <w:szCs w:val="28"/>
              </w:rPr>
              <w:t>де</w:t>
            </w:r>
          </w:p>
        </w:tc>
        <w:tc>
          <w:tcPr>
            <w:tcW w:w="1223"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uk-UA"/>
              </w:rPr>
              <w:drawing>
                <wp:inline distT="0" distB="0" distL="0" distR="0" wp14:anchorId="451853A6" wp14:editId="514DEBEF">
                  <wp:extent cx="391795" cy="200660"/>
                  <wp:effectExtent l="0" t="0" r="0" b="0"/>
                  <wp:docPr id="12" name="image12.png" descr="https://zakon.rada.gov.ua/laws/file/imgs/90/p506691n234-9.gif"/>
                  <wp:cNvGraphicFramePr/>
                  <a:graphic xmlns:a="http://schemas.openxmlformats.org/drawingml/2006/main">
                    <a:graphicData uri="http://schemas.openxmlformats.org/drawingml/2006/picture">
                      <pic:pic xmlns:pic="http://schemas.openxmlformats.org/drawingml/2006/picture">
                        <pic:nvPicPr>
                          <pic:cNvPr id="0" name="image12.png" descr="https://zakon.rada.gov.ua/laws/file/imgs/90/p506691n234-9.gif"/>
                          <pic:cNvPicPr preferRelativeResize="0"/>
                        </pic:nvPicPr>
                        <pic:blipFill>
                          <a:blip r:embed="rId21"/>
                          <a:srcRect/>
                          <a:stretch>
                            <a:fillRect/>
                          </a:stretch>
                        </pic:blipFill>
                        <pic:spPr>
                          <a:xfrm>
                            <a:off x="0" y="0"/>
                            <a:ext cx="391795" cy="200660"/>
                          </a:xfrm>
                          <a:prstGeom prst="rect">
                            <a:avLst/>
                          </a:prstGeom>
                          <a:ln/>
                        </pic:spPr>
                      </pic:pic>
                    </a:graphicData>
                  </a:graphic>
                </wp:inline>
              </w:drawing>
            </w:r>
          </w:p>
        </w:tc>
        <w:tc>
          <w:tcPr>
            <w:tcW w:w="7616"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розмір погодинної орендної плати;</w:t>
            </w:r>
          </w:p>
        </w:tc>
      </w:tr>
      <w:tr w:rsidR="000E14A2">
        <w:trPr>
          <w:jc w:val="center"/>
        </w:trPr>
        <w:tc>
          <w:tcPr>
            <w:tcW w:w="516" w:type="dxa"/>
          </w:tcPr>
          <w:p w:rsidR="000E14A2" w:rsidRDefault="000E14A2">
            <w:pPr>
              <w:spacing w:after="0" w:line="240" w:lineRule="auto"/>
              <w:rPr>
                <w:rFonts w:ascii="Times New Roman" w:eastAsia="Times New Roman" w:hAnsi="Times New Roman" w:cs="Times New Roman"/>
                <w:sz w:val="28"/>
                <w:szCs w:val="28"/>
              </w:rPr>
            </w:pPr>
          </w:p>
        </w:tc>
        <w:tc>
          <w:tcPr>
            <w:tcW w:w="1223"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Х</w:t>
            </w:r>
          </w:p>
        </w:tc>
        <w:tc>
          <w:tcPr>
            <w:tcW w:w="7616"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кількість календарних днів у місяці фактичного користування.</w:t>
            </w:r>
          </w:p>
        </w:tc>
      </w:tr>
    </w:tbl>
    <w:p w:rsidR="000E14A2" w:rsidRDefault="00F27E52">
      <w:pPr>
        <w:shd w:val="clear" w:color="auto" w:fill="FFFFFF"/>
        <w:spacing w:after="158" w:line="240" w:lineRule="auto"/>
        <w:ind w:firstLine="475"/>
        <w:jc w:val="both"/>
        <w:rPr>
          <w:rFonts w:ascii="Times New Roman" w:eastAsia="Times New Roman" w:hAnsi="Times New Roman" w:cs="Times New Roman"/>
          <w:sz w:val="28"/>
          <w:szCs w:val="28"/>
        </w:rPr>
      </w:pPr>
      <w:bookmarkStart w:id="12" w:name="26in1rg" w:colFirst="0" w:colLast="0"/>
      <w:bookmarkEnd w:id="12"/>
      <w:r>
        <w:rPr>
          <w:rFonts w:ascii="Times New Roman" w:eastAsia="Times New Roman" w:hAnsi="Times New Roman" w:cs="Times New Roman"/>
          <w:sz w:val="28"/>
          <w:szCs w:val="28"/>
        </w:rPr>
        <w:t>У разі коли погодинна орендна плата припадає на вихідний або святковий день, у такі дні орендна плата нараховується за повну добу.</w:t>
      </w:r>
    </w:p>
    <w:p w:rsidR="000E14A2" w:rsidRDefault="00F27E52">
      <w:pPr>
        <w:shd w:val="clear" w:color="auto" w:fill="FFFFFF"/>
        <w:spacing w:after="158"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Розмір річної орендної плати за єдині майнові комплекси, їх відокремлені структурні підрозділи визначається за формулою:</w:t>
      </w:r>
    </w:p>
    <w:p w:rsidR="000E14A2" w:rsidRDefault="00F27E52">
      <w:pPr>
        <w:shd w:val="clear" w:color="auto" w:fill="FFFFFF"/>
        <w:spacing w:before="158" w:after="158" w:line="240" w:lineRule="auto"/>
        <w:jc w:val="center"/>
        <w:rPr>
          <w:rFonts w:ascii="Times New Roman" w:eastAsia="Times New Roman" w:hAnsi="Times New Roman" w:cs="Times New Roman"/>
          <w:sz w:val="28"/>
          <w:szCs w:val="28"/>
        </w:rPr>
      </w:pPr>
      <w:bookmarkStart w:id="13" w:name="lnxbz9" w:colFirst="0" w:colLast="0"/>
      <w:bookmarkEnd w:id="13"/>
      <w:r>
        <w:rPr>
          <w:rFonts w:ascii="Times New Roman" w:eastAsia="Times New Roman" w:hAnsi="Times New Roman" w:cs="Times New Roman"/>
          <w:noProof/>
          <w:sz w:val="28"/>
          <w:szCs w:val="28"/>
          <w:lang w:eastAsia="uk-UA"/>
        </w:rPr>
        <w:lastRenderedPageBreak/>
        <w:drawing>
          <wp:inline distT="0" distB="0" distL="0" distR="0" wp14:anchorId="3561077E" wp14:editId="6669342E">
            <wp:extent cx="1899285" cy="431800"/>
            <wp:effectExtent l="0" t="0" r="0" b="0"/>
            <wp:docPr id="10" name="image10.png" descr="https://zakon.rada.gov.ua/laws/file/imgs/90/p506691n38-10.gif"/>
            <wp:cNvGraphicFramePr/>
            <a:graphic xmlns:a="http://schemas.openxmlformats.org/drawingml/2006/main">
              <a:graphicData uri="http://schemas.openxmlformats.org/drawingml/2006/picture">
                <pic:pic xmlns:pic="http://schemas.openxmlformats.org/drawingml/2006/picture">
                  <pic:nvPicPr>
                    <pic:cNvPr id="0" name="image10.png" descr="https://zakon.rada.gov.ua/laws/file/imgs/90/p506691n38-10.gif"/>
                    <pic:cNvPicPr preferRelativeResize="0"/>
                  </pic:nvPicPr>
                  <pic:blipFill>
                    <a:blip r:embed="rId22"/>
                    <a:srcRect/>
                    <a:stretch>
                      <a:fillRect/>
                    </a:stretch>
                  </pic:blipFill>
                  <pic:spPr>
                    <a:xfrm>
                      <a:off x="0" y="0"/>
                      <a:ext cx="1899285" cy="431800"/>
                    </a:xfrm>
                    <a:prstGeom prst="rect">
                      <a:avLst/>
                    </a:prstGeom>
                    <a:ln/>
                  </pic:spPr>
                </pic:pic>
              </a:graphicData>
            </a:graphic>
          </wp:inline>
        </w:drawing>
      </w:r>
    </w:p>
    <w:tbl>
      <w:tblPr>
        <w:tblStyle w:val="a9"/>
        <w:tblW w:w="9355" w:type="dxa"/>
        <w:jc w:val="center"/>
        <w:tblInd w:w="0" w:type="dxa"/>
        <w:tblLayout w:type="fixed"/>
        <w:tblLook w:val="0400" w:firstRow="0" w:lastRow="0" w:firstColumn="0" w:lastColumn="0" w:noHBand="0" w:noVBand="1"/>
      </w:tblPr>
      <w:tblGrid>
        <w:gridCol w:w="517"/>
        <w:gridCol w:w="1105"/>
        <w:gridCol w:w="7733"/>
      </w:tblGrid>
      <w:tr w:rsidR="000E14A2">
        <w:trPr>
          <w:jc w:val="center"/>
        </w:trPr>
        <w:tc>
          <w:tcPr>
            <w:tcW w:w="517" w:type="dxa"/>
          </w:tcPr>
          <w:p w:rsidR="000E14A2" w:rsidRDefault="00F27E52">
            <w:pPr>
              <w:spacing w:before="158" w:after="158" w:line="240" w:lineRule="auto"/>
              <w:jc w:val="center"/>
              <w:rPr>
                <w:rFonts w:ascii="Times New Roman" w:eastAsia="Times New Roman" w:hAnsi="Times New Roman" w:cs="Times New Roman"/>
                <w:sz w:val="28"/>
                <w:szCs w:val="28"/>
              </w:rPr>
            </w:pPr>
            <w:bookmarkStart w:id="14" w:name="35nkun2" w:colFirst="0" w:colLast="0"/>
            <w:bookmarkEnd w:id="14"/>
            <w:r>
              <w:rPr>
                <w:rFonts w:ascii="Times New Roman" w:eastAsia="Times New Roman" w:hAnsi="Times New Roman" w:cs="Times New Roman"/>
                <w:sz w:val="28"/>
                <w:szCs w:val="28"/>
              </w:rPr>
              <w:t>де</w:t>
            </w:r>
          </w:p>
        </w:tc>
        <w:tc>
          <w:tcPr>
            <w:tcW w:w="1105"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uk-UA"/>
              </w:rPr>
              <w:drawing>
                <wp:inline distT="0" distB="0" distL="0" distR="0" wp14:anchorId="6D03A685" wp14:editId="4018260A">
                  <wp:extent cx="281305" cy="200660"/>
                  <wp:effectExtent l="0" t="0" r="0" b="0"/>
                  <wp:docPr id="11" name="image11.png" descr="https://zakon.rada.gov.ua/laws/file/imgs/90/p506691n236-11.gif"/>
                  <wp:cNvGraphicFramePr/>
                  <a:graphic xmlns:a="http://schemas.openxmlformats.org/drawingml/2006/main">
                    <a:graphicData uri="http://schemas.openxmlformats.org/drawingml/2006/picture">
                      <pic:pic xmlns:pic="http://schemas.openxmlformats.org/drawingml/2006/picture">
                        <pic:nvPicPr>
                          <pic:cNvPr id="0" name="image11.png" descr="https://zakon.rada.gov.ua/laws/file/imgs/90/p506691n236-11.gif"/>
                          <pic:cNvPicPr preferRelativeResize="0"/>
                        </pic:nvPicPr>
                        <pic:blipFill>
                          <a:blip r:embed="rId23"/>
                          <a:srcRect/>
                          <a:stretch>
                            <a:fillRect/>
                          </a:stretch>
                        </pic:blipFill>
                        <pic:spPr>
                          <a:xfrm>
                            <a:off x="0" y="0"/>
                            <a:ext cx="281305" cy="200660"/>
                          </a:xfrm>
                          <a:prstGeom prst="rect">
                            <a:avLst/>
                          </a:prstGeom>
                          <a:ln/>
                        </pic:spPr>
                      </pic:pic>
                    </a:graphicData>
                  </a:graphic>
                </wp:inline>
              </w:drawing>
            </w:r>
          </w:p>
        </w:tc>
        <w:tc>
          <w:tcPr>
            <w:tcW w:w="7733"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розмір річної орендної плати за єдині майнові комплекси, їх відокремлені структурні підрозділи, гривень;</w:t>
            </w:r>
          </w:p>
        </w:tc>
      </w:tr>
      <w:tr w:rsidR="000E14A2">
        <w:trPr>
          <w:jc w:val="center"/>
        </w:trPr>
        <w:tc>
          <w:tcPr>
            <w:tcW w:w="517" w:type="dxa"/>
          </w:tcPr>
          <w:p w:rsidR="000E14A2" w:rsidRDefault="000E14A2">
            <w:pPr>
              <w:spacing w:after="0" w:line="240" w:lineRule="auto"/>
              <w:rPr>
                <w:rFonts w:ascii="Times New Roman" w:eastAsia="Times New Roman" w:hAnsi="Times New Roman" w:cs="Times New Roman"/>
                <w:sz w:val="28"/>
                <w:szCs w:val="28"/>
              </w:rPr>
            </w:pPr>
          </w:p>
        </w:tc>
        <w:tc>
          <w:tcPr>
            <w:tcW w:w="1105"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uk-UA"/>
              </w:rPr>
              <w:drawing>
                <wp:inline distT="0" distB="0" distL="0" distR="0" wp14:anchorId="797832DC" wp14:editId="13440AF9">
                  <wp:extent cx="210820" cy="200660"/>
                  <wp:effectExtent l="0" t="0" r="0" b="0"/>
                  <wp:docPr id="13" name="image13.png" descr="https://zakon.rada.gov.ua/laws/file/imgs/90/p506691n236-12.gif"/>
                  <wp:cNvGraphicFramePr/>
                  <a:graphic xmlns:a="http://schemas.openxmlformats.org/drawingml/2006/main">
                    <a:graphicData uri="http://schemas.openxmlformats.org/drawingml/2006/picture">
                      <pic:pic xmlns:pic="http://schemas.openxmlformats.org/drawingml/2006/picture">
                        <pic:nvPicPr>
                          <pic:cNvPr id="0" name="image13.png" descr="https://zakon.rada.gov.ua/laws/file/imgs/90/p506691n236-12.gif"/>
                          <pic:cNvPicPr preferRelativeResize="0"/>
                        </pic:nvPicPr>
                        <pic:blipFill>
                          <a:blip r:embed="rId24"/>
                          <a:srcRect/>
                          <a:stretch>
                            <a:fillRect/>
                          </a:stretch>
                        </pic:blipFill>
                        <pic:spPr>
                          <a:xfrm>
                            <a:off x="0" y="0"/>
                            <a:ext cx="210820" cy="200660"/>
                          </a:xfrm>
                          <a:prstGeom prst="rect">
                            <a:avLst/>
                          </a:prstGeom>
                          <a:ln/>
                        </pic:spPr>
                      </pic:pic>
                    </a:graphicData>
                  </a:graphic>
                </wp:inline>
              </w:drawing>
            </w:r>
          </w:p>
        </w:tc>
        <w:tc>
          <w:tcPr>
            <w:tcW w:w="7733"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вартість основних засобів за незалежною оцінкою на дату оцінки об’єкта оренди (без урахування податку на додану вартість), гривень;</w:t>
            </w:r>
          </w:p>
        </w:tc>
      </w:tr>
      <w:tr w:rsidR="000E14A2">
        <w:trPr>
          <w:jc w:val="center"/>
        </w:trPr>
        <w:tc>
          <w:tcPr>
            <w:tcW w:w="517" w:type="dxa"/>
          </w:tcPr>
          <w:p w:rsidR="000E14A2" w:rsidRDefault="000E14A2">
            <w:pPr>
              <w:spacing w:after="0" w:line="240" w:lineRule="auto"/>
              <w:rPr>
                <w:rFonts w:ascii="Times New Roman" w:eastAsia="Times New Roman" w:hAnsi="Times New Roman" w:cs="Times New Roman"/>
                <w:sz w:val="28"/>
                <w:szCs w:val="28"/>
              </w:rPr>
            </w:pPr>
          </w:p>
        </w:tc>
        <w:tc>
          <w:tcPr>
            <w:tcW w:w="1105"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uk-UA"/>
              </w:rPr>
              <w:drawing>
                <wp:inline distT="0" distB="0" distL="0" distR="0" wp14:anchorId="3465BF42" wp14:editId="3E6727C9">
                  <wp:extent cx="220980" cy="170815"/>
                  <wp:effectExtent l="0" t="0" r="0" b="0"/>
                  <wp:docPr id="14" name="image14.png" descr="https://zakon.rada.gov.ua/laws/file/imgs/90/p506691n236-13.gif"/>
                  <wp:cNvGraphicFramePr/>
                  <a:graphic xmlns:a="http://schemas.openxmlformats.org/drawingml/2006/main">
                    <a:graphicData uri="http://schemas.openxmlformats.org/drawingml/2006/picture">
                      <pic:pic xmlns:pic="http://schemas.openxmlformats.org/drawingml/2006/picture">
                        <pic:nvPicPr>
                          <pic:cNvPr id="0" name="image14.png" descr="https://zakon.rada.gov.ua/laws/file/imgs/90/p506691n236-13.gif"/>
                          <pic:cNvPicPr preferRelativeResize="0"/>
                        </pic:nvPicPr>
                        <pic:blipFill>
                          <a:blip r:embed="rId25"/>
                          <a:srcRect/>
                          <a:stretch>
                            <a:fillRect/>
                          </a:stretch>
                        </pic:blipFill>
                        <pic:spPr>
                          <a:xfrm>
                            <a:off x="0" y="0"/>
                            <a:ext cx="220980" cy="170815"/>
                          </a:xfrm>
                          <a:prstGeom prst="rect">
                            <a:avLst/>
                          </a:prstGeom>
                          <a:ln/>
                        </pic:spPr>
                      </pic:pic>
                    </a:graphicData>
                  </a:graphic>
                </wp:inline>
              </w:drawing>
            </w:r>
          </w:p>
        </w:tc>
        <w:tc>
          <w:tcPr>
            <w:tcW w:w="7733"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вартість нематеріальних активів за незалежною оцінкою на дату оцінки об’єкта оренди (без урахування податку на додану вартість), гривень;</w:t>
            </w:r>
          </w:p>
        </w:tc>
      </w:tr>
      <w:tr w:rsidR="000E14A2">
        <w:trPr>
          <w:jc w:val="center"/>
        </w:trPr>
        <w:tc>
          <w:tcPr>
            <w:tcW w:w="517" w:type="dxa"/>
          </w:tcPr>
          <w:p w:rsidR="000E14A2" w:rsidRDefault="000E14A2">
            <w:pPr>
              <w:spacing w:after="0" w:line="240" w:lineRule="auto"/>
              <w:rPr>
                <w:rFonts w:ascii="Times New Roman" w:eastAsia="Times New Roman" w:hAnsi="Times New Roman" w:cs="Times New Roman"/>
                <w:sz w:val="28"/>
                <w:szCs w:val="28"/>
              </w:rPr>
            </w:pPr>
          </w:p>
        </w:tc>
        <w:tc>
          <w:tcPr>
            <w:tcW w:w="1105"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uk-UA"/>
              </w:rPr>
              <w:drawing>
                <wp:inline distT="0" distB="0" distL="0" distR="0" wp14:anchorId="166E1793" wp14:editId="188B15CE">
                  <wp:extent cx="260985" cy="210820"/>
                  <wp:effectExtent l="0" t="0" r="0" b="0"/>
                  <wp:docPr id="15" name="image15.png" descr="https://zakon.rada.gov.ua/laws/file/imgs/90/p506691n236-14.gif"/>
                  <wp:cNvGraphicFramePr/>
                  <a:graphic xmlns:a="http://schemas.openxmlformats.org/drawingml/2006/main">
                    <a:graphicData uri="http://schemas.openxmlformats.org/drawingml/2006/picture">
                      <pic:pic xmlns:pic="http://schemas.openxmlformats.org/drawingml/2006/picture">
                        <pic:nvPicPr>
                          <pic:cNvPr id="0" name="image15.png" descr="https://zakon.rada.gov.ua/laws/file/imgs/90/p506691n236-14.gif"/>
                          <pic:cNvPicPr preferRelativeResize="0"/>
                        </pic:nvPicPr>
                        <pic:blipFill>
                          <a:blip r:embed="rId26"/>
                          <a:srcRect/>
                          <a:stretch>
                            <a:fillRect/>
                          </a:stretch>
                        </pic:blipFill>
                        <pic:spPr>
                          <a:xfrm>
                            <a:off x="0" y="0"/>
                            <a:ext cx="260985" cy="210820"/>
                          </a:xfrm>
                          <a:prstGeom prst="rect">
                            <a:avLst/>
                          </a:prstGeom>
                          <a:ln/>
                        </pic:spPr>
                      </pic:pic>
                    </a:graphicData>
                  </a:graphic>
                </wp:inline>
              </w:drawing>
            </w:r>
          </w:p>
        </w:tc>
        <w:tc>
          <w:tcPr>
            <w:tcW w:w="7733"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орендна ставка за використання об’єкта оренди, визначена згідно з </w:t>
            </w:r>
            <w:hyperlink r:id="rId27" w:anchor="n79">
              <w:r>
                <w:rPr>
                  <w:rFonts w:ascii="Times New Roman" w:eastAsia="Times New Roman" w:hAnsi="Times New Roman" w:cs="Times New Roman"/>
                  <w:sz w:val="28"/>
                  <w:szCs w:val="28"/>
                </w:rPr>
                <w:t>додатком 2</w:t>
              </w:r>
            </w:hyperlink>
            <w:r>
              <w:rPr>
                <w:rFonts w:ascii="Times New Roman" w:eastAsia="Times New Roman" w:hAnsi="Times New Roman" w:cs="Times New Roman"/>
                <w:sz w:val="28"/>
                <w:szCs w:val="28"/>
              </w:rPr>
              <w:t>.</w:t>
            </w:r>
          </w:p>
        </w:tc>
      </w:tr>
    </w:tbl>
    <w:p w:rsidR="000E14A2" w:rsidRDefault="00F27E52">
      <w:pPr>
        <w:shd w:val="clear" w:color="auto" w:fill="FFFFFF"/>
        <w:spacing w:after="122" w:line="240" w:lineRule="auto"/>
        <w:rPr>
          <w:rFonts w:ascii="Times New Roman" w:eastAsia="Times New Roman" w:hAnsi="Times New Roman" w:cs="Times New Roman"/>
          <w:sz w:val="28"/>
          <w:szCs w:val="28"/>
        </w:rPr>
      </w:pPr>
      <w:bookmarkStart w:id="15" w:name="1ksv4uv" w:colFirst="0" w:colLast="0"/>
      <w:bookmarkEnd w:id="15"/>
      <w:r>
        <w:rPr>
          <w:rFonts w:ascii="Times New Roman" w:eastAsia="Times New Roman" w:hAnsi="Times New Roman" w:cs="Times New Roman"/>
          <w:sz w:val="28"/>
          <w:szCs w:val="28"/>
        </w:rPr>
        <w:t>11. Розмір орендної плати за базовий місяць оренди за єдині майнові комплекси, їх відокремлені структурні підрозділи визначається за формулою:</w:t>
      </w:r>
    </w:p>
    <w:p w:rsidR="000E14A2" w:rsidRDefault="00F27E52">
      <w:pPr>
        <w:shd w:val="clear" w:color="auto" w:fill="FFFFFF"/>
        <w:spacing w:before="158" w:after="158" w:line="240" w:lineRule="auto"/>
        <w:jc w:val="center"/>
        <w:rPr>
          <w:rFonts w:ascii="Times New Roman" w:eastAsia="Times New Roman" w:hAnsi="Times New Roman" w:cs="Times New Roman"/>
          <w:sz w:val="28"/>
          <w:szCs w:val="28"/>
        </w:rPr>
      </w:pPr>
      <w:bookmarkStart w:id="16" w:name="44sinio" w:colFirst="0" w:colLast="0"/>
      <w:bookmarkEnd w:id="16"/>
      <w:r>
        <w:rPr>
          <w:rFonts w:ascii="Times New Roman" w:eastAsia="Times New Roman" w:hAnsi="Times New Roman" w:cs="Times New Roman"/>
          <w:noProof/>
          <w:sz w:val="28"/>
          <w:szCs w:val="28"/>
          <w:lang w:eastAsia="uk-UA"/>
        </w:rPr>
        <w:drawing>
          <wp:inline distT="0" distB="0" distL="0" distR="0" wp14:anchorId="2AD04A8B" wp14:editId="13C86DA5">
            <wp:extent cx="1557655" cy="441960"/>
            <wp:effectExtent l="0" t="0" r="0" b="0"/>
            <wp:docPr id="16" name="image16.png" descr="https://zakon.rada.gov.ua/laws/file/imgs/90/p506691n44-15.gif"/>
            <wp:cNvGraphicFramePr/>
            <a:graphic xmlns:a="http://schemas.openxmlformats.org/drawingml/2006/main">
              <a:graphicData uri="http://schemas.openxmlformats.org/drawingml/2006/picture">
                <pic:pic xmlns:pic="http://schemas.openxmlformats.org/drawingml/2006/picture">
                  <pic:nvPicPr>
                    <pic:cNvPr id="0" name="image16.png" descr="https://zakon.rada.gov.ua/laws/file/imgs/90/p506691n44-15.gif"/>
                    <pic:cNvPicPr preferRelativeResize="0"/>
                  </pic:nvPicPr>
                  <pic:blipFill>
                    <a:blip r:embed="rId28"/>
                    <a:srcRect/>
                    <a:stretch>
                      <a:fillRect/>
                    </a:stretch>
                  </pic:blipFill>
                  <pic:spPr>
                    <a:xfrm>
                      <a:off x="0" y="0"/>
                      <a:ext cx="1557655" cy="441960"/>
                    </a:xfrm>
                    <a:prstGeom prst="rect">
                      <a:avLst/>
                    </a:prstGeom>
                    <a:ln/>
                  </pic:spPr>
                </pic:pic>
              </a:graphicData>
            </a:graphic>
          </wp:inline>
        </w:drawing>
      </w:r>
    </w:p>
    <w:tbl>
      <w:tblPr>
        <w:tblStyle w:val="aa"/>
        <w:tblW w:w="9355" w:type="dxa"/>
        <w:jc w:val="center"/>
        <w:tblInd w:w="0" w:type="dxa"/>
        <w:tblLayout w:type="fixed"/>
        <w:tblLook w:val="0400" w:firstRow="0" w:lastRow="0" w:firstColumn="0" w:lastColumn="0" w:noHBand="0" w:noVBand="1"/>
      </w:tblPr>
      <w:tblGrid>
        <w:gridCol w:w="522"/>
        <w:gridCol w:w="1218"/>
        <w:gridCol w:w="7615"/>
      </w:tblGrid>
      <w:tr w:rsidR="000E14A2">
        <w:trPr>
          <w:jc w:val="center"/>
        </w:trPr>
        <w:tc>
          <w:tcPr>
            <w:tcW w:w="522" w:type="dxa"/>
          </w:tcPr>
          <w:p w:rsidR="000E14A2" w:rsidRDefault="00F27E52">
            <w:pPr>
              <w:spacing w:before="158" w:after="158" w:line="240" w:lineRule="auto"/>
              <w:jc w:val="center"/>
              <w:rPr>
                <w:rFonts w:ascii="Times New Roman" w:eastAsia="Times New Roman" w:hAnsi="Times New Roman" w:cs="Times New Roman"/>
                <w:sz w:val="28"/>
                <w:szCs w:val="28"/>
              </w:rPr>
            </w:pPr>
            <w:bookmarkStart w:id="17" w:name="2jxsxqh" w:colFirst="0" w:colLast="0"/>
            <w:bookmarkEnd w:id="17"/>
            <w:r>
              <w:rPr>
                <w:rFonts w:ascii="Times New Roman" w:eastAsia="Times New Roman" w:hAnsi="Times New Roman" w:cs="Times New Roman"/>
                <w:sz w:val="28"/>
                <w:szCs w:val="28"/>
              </w:rPr>
              <w:t>де</w:t>
            </w:r>
          </w:p>
        </w:tc>
        <w:tc>
          <w:tcPr>
            <w:tcW w:w="1218" w:type="dxa"/>
          </w:tcPr>
          <w:p w:rsidR="000E14A2" w:rsidRDefault="00F27E52">
            <w:pPr>
              <w:spacing w:before="158" w:after="158"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uk-UA"/>
              </w:rPr>
              <w:drawing>
                <wp:inline distT="0" distB="0" distL="0" distR="0" wp14:anchorId="0B2320CC" wp14:editId="5DADDB05">
                  <wp:extent cx="381635" cy="200660"/>
                  <wp:effectExtent l="0" t="0" r="0" b="0"/>
                  <wp:docPr id="17" name="image17.png" descr="https://zakon.rada.gov.ua/laws/file/imgs/90/p506691n238-16.gif"/>
                  <wp:cNvGraphicFramePr/>
                  <a:graphic xmlns:a="http://schemas.openxmlformats.org/drawingml/2006/main">
                    <a:graphicData uri="http://schemas.openxmlformats.org/drawingml/2006/picture">
                      <pic:pic xmlns:pic="http://schemas.openxmlformats.org/drawingml/2006/picture">
                        <pic:nvPicPr>
                          <pic:cNvPr id="0" name="image17.png" descr="https://zakon.rada.gov.ua/laws/file/imgs/90/p506691n238-16.gif"/>
                          <pic:cNvPicPr preferRelativeResize="0"/>
                        </pic:nvPicPr>
                        <pic:blipFill>
                          <a:blip r:embed="rId29"/>
                          <a:srcRect/>
                          <a:stretch>
                            <a:fillRect/>
                          </a:stretch>
                        </pic:blipFill>
                        <pic:spPr>
                          <a:xfrm>
                            <a:off x="0" y="0"/>
                            <a:ext cx="381635" cy="200660"/>
                          </a:xfrm>
                          <a:prstGeom prst="rect">
                            <a:avLst/>
                          </a:prstGeom>
                          <a:ln/>
                        </pic:spPr>
                      </pic:pic>
                    </a:graphicData>
                  </a:graphic>
                </wp:inline>
              </w:drawing>
            </w:r>
          </w:p>
        </w:tc>
        <w:tc>
          <w:tcPr>
            <w:tcW w:w="7615" w:type="dxa"/>
          </w:tcPr>
          <w:p w:rsidR="000E14A2" w:rsidRDefault="00F27E52">
            <w:pPr>
              <w:spacing w:before="158" w:after="158"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розмір місячної орендної плати, визначений за цією Методикою, гривень.</w:t>
            </w:r>
          </w:p>
        </w:tc>
      </w:tr>
    </w:tbl>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bookmarkStart w:id="18" w:name="z337ya" w:colFirst="0" w:colLast="0"/>
      <w:bookmarkEnd w:id="18"/>
      <w:r>
        <w:rPr>
          <w:rFonts w:ascii="Times New Roman" w:eastAsia="Times New Roman" w:hAnsi="Times New Roman" w:cs="Times New Roman"/>
          <w:sz w:val="28"/>
          <w:szCs w:val="28"/>
        </w:rPr>
        <w:t>Форма розрахунку орендної плати за базовий місяць наведена у </w:t>
      </w:r>
      <w:hyperlink r:id="rId30" w:anchor="n84">
        <w:r>
          <w:rPr>
            <w:rFonts w:ascii="Times New Roman" w:eastAsia="Times New Roman" w:hAnsi="Times New Roman" w:cs="Times New Roman"/>
            <w:sz w:val="28"/>
            <w:szCs w:val="28"/>
          </w:rPr>
          <w:t>додатку 3</w:t>
        </w:r>
      </w:hyperlink>
      <w:r>
        <w:rPr>
          <w:rFonts w:ascii="Times New Roman" w:eastAsia="Times New Roman" w:hAnsi="Times New Roman" w:cs="Times New Roman"/>
          <w:sz w:val="28"/>
          <w:szCs w:val="28"/>
        </w:rPr>
        <w:t xml:space="preserve"> цієї Методики.</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bookmarkStart w:id="19" w:name="3j2qqm3" w:colFirst="0" w:colLast="0"/>
      <w:bookmarkEnd w:id="19"/>
      <w:r>
        <w:rPr>
          <w:rFonts w:ascii="Times New Roman" w:eastAsia="Times New Roman" w:hAnsi="Times New Roman" w:cs="Times New Roman"/>
          <w:sz w:val="28"/>
          <w:szCs w:val="28"/>
        </w:rPr>
        <w:t>Якщо між датою визначення орендної плати за базовий місяць і датою підписання акта приймання-передачі майна минуло більше ніж один повний календарний місяць, розмір орендної плати за перший місяць оренди встановлюється шляхом коригування орендної плати за базовий місяць на індекс інфляції у місяцях, що минули з дати визначення орендної плати за базовий місяць.</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bookmarkStart w:id="20" w:name="1y810tw" w:colFirst="0" w:colLast="0"/>
      <w:bookmarkEnd w:id="20"/>
      <w:r>
        <w:rPr>
          <w:rFonts w:ascii="Times New Roman" w:eastAsia="Times New Roman" w:hAnsi="Times New Roman" w:cs="Times New Roman"/>
          <w:sz w:val="28"/>
          <w:szCs w:val="28"/>
        </w:rPr>
        <w:t>12. Результати незалежної оцінки майна чинні протягом 12 місяців від дати оцінки, якщо інший строк не передбачено у звіті про оцінку майна.</w:t>
      </w:r>
    </w:p>
    <w:p w:rsidR="00635353" w:rsidRPr="00635353" w:rsidRDefault="00F27E52" w:rsidP="00635353">
      <w:pPr>
        <w:shd w:val="clear" w:color="auto" w:fill="FFFFFF"/>
        <w:spacing w:after="0" w:line="240" w:lineRule="auto"/>
        <w:ind w:firstLine="475"/>
        <w:jc w:val="both"/>
        <w:rPr>
          <w:rFonts w:ascii="Times New Roman" w:eastAsia="Times New Roman" w:hAnsi="Times New Roman" w:cs="Times New Roman"/>
          <w:sz w:val="28"/>
          <w:szCs w:val="28"/>
        </w:rPr>
      </w:pPr>
      <w:bookmarkStart w:id="21" w:name="4i7ojhp" w:colFirst="0" w:colLast="0"/>
      <w:bookmarkEnd w:id="21"/>
      <w:r w:rsidRPr="00635353">
        <w:rPr>
          <w:rFonts w:ascii="Times New Roman" w:eastAsia="Times New Roman" w:hAnsi="Times New Roman" w:cs="Times New Roman"/>
          <w:sz w:val="28"/>
          <w:szCs w:val="28"/>
        </w:rPr>
        <w:t>13. Річна орендна плата за оренду нерухомого майна у розмірі 1 гривні встановлюється таким орендарям:</w:t>
      </w:r>
    </w:p>
    <w:p w:rsidR="00635353" w:rsidRPr="00635353" w:rsidRDefault="00635353" w:rsidP="00635353">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t>- органам державної влади, іншим бюджетним організаціям, закладам, установам, діяльність яких фінансуються за рахунок державного бюджету;</w:t>
      </w:r>
    </w:p>
    <w:p w:rsidR="00635353" w:rsidRPr="00635353" w:rsidRDefault="00635353" w:rsidP="00635353">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t>- виконавчим органам Петрівської сільської ради, іншим бюджетним організаціям, закладам, установам, діяльність яких фінансуються за рахунок  бюджету Петрівської сільської територіальної громади;</w:t>
      </w:r>
    </w:p>
    <w:p w:rsidR="00635353" w:rsidRPr="00635353" w:rsidRDefault="00635353" w:rsidP="00635353">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t>- комунальним некомерційним підприємствам Петрівської сільської ради, які є надавачами соціальних послуг та які включені до Реєстру надавачів та отримувачів соціальних послуг, відповідно до </w:t>
      </w:r>
      <w:hyperlink r:id="rId31" w:tgtFrame="_blank" w:history="1">
        <w:r w:rsidRPr="00635353">
          <w:rPr>
            <w:rStyle w:val="af2"/>
            <w:rFonts w:ascii="Times New Roman" w:eastAsia="Times New Roman" w:hAnsi="Times New Roman" w:cs="Times New Roman"/>
            <w:color w:val="auto"/>
            <w:sz w:val="28"/>
            <w:szCs w:val="28"/>
            <w:u w:val="none"/>
          </w:rPr>
          <w:t>Закону України «Про соціальні послуги»</w:t>
        </w:r>
      </w:hyperlink>
      <w:r w:rsidRPr="00635353">
        <w:rPr>
          <w:rFonts w:ascii="Times New Roman" w:eastAsia="Times New Roman" w:hAnsi="Times New Roman" w:cs="Times New Roman"/>
          <w:sz w:val="28"/>
          <w:szCs w:val="28"/>
        </w:rPr>
        <w:t>;</w:t>
      </w:r>
    </w:p>
    <w:p w:rsidR="00635353" w:rsidRPr="00635353" w:rsidRDefault="00635353" w:rsidP="00635353">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t>- комунальним закладам освіти, що повністю або частково утримуються за рахунок бюджету Петрівської сільської територіальної громади;</w:t>
      </w:r>
    </w:p>
    <w:p w:rsidR="00635353" w:rsidRPr="00635353" w:rsidRDefault="00635353" w:rsidP="00635353">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lastRenderedPageBreak/>
        <w:t>- комунальним установам, підприємствам, закладам у сфері культури і мистецтв, які утримуються або частково фінансуються за рахунок бюджету Петрівської сільської територіальної громади;</w:t>
      </w:r>
    </w:p>
    <w:p w:rsidR="00635353" w:rsidRPr="00635353" w:rsidRDefault="00635353" w:rsidP="00635353">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t>- релігійним організаціям для забезпечення проведення релігійних обрядів та церемоній, крім релігійних організацій афілійованих із центрами впливу в Російській Федерації;</w:t>
      </w:r>
    </w:p>
    <w:p w:rsidR="00635353" w:rsidRPr="00635353" w:rsidRDefault="00635353" w:rsidP="00635353">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t>- Збройним Силам України, іншим утвореним відповідно до законів України військовим формування, правоохоронним та розвідувальним органам спеціального призначення з правоохоронними функціями, силам цивільного захисту (на період введення воєнного стану та протягом одного місяця після його припинення чи скасування у встановленому чинним законодавством порядку);</w:t>
      </w:r>
    </w:p>
    <w:p w:rsidR="00635353" w:rsidRPr="00635353" w:rsidRDefault="00635353" w:rsidP="00635353">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t>- Пенсійному фонду України та його органам;</w:t>
      </w:r>
    </w:p>
    <w:p w:rsidR="00346F5D" w:rsidRPr="00635353" w:rsidRDefault="00346F5D" w:rsidP="00346F5D">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t>- державним та комунальним спортивним клубам, дитячо-юнацьким спортивним школам;</w:t>
      </w:r>
    </w:p>
    <w:p w:rsidR="00346F5D" w:rsidRPr="00635353" w:rsidRDefault="00346F5D" w:rsidP="00346F5D">
      <w:pPr>
        <w:shd w:val="clear" w:color="auto" w:fill="FFFFFF"/>
        <w:spacing w:after="0" w:line="240" w:lineRule="auto"/>
        <w:ind w:firstLine="475"/>
        <w:jc w:val="both"/>
        <w:rPr>
          <w:rFonts w:ascii="Times New Roman" w:eastAsia="Times New Roman" w:hAnsi="Times New Roman" w:cs="Times New Roman"/>
          <w:sz w:val="28"/>
          <w:szCs w:val="28"/>
        </w:rPr>
      </w:pPr>
      <w:bookmarkStart w:id="22" w:name="n513"/>
      <w:bookmarkEnd w:id="22"/>
      <w:r w:rsidRPr="00635353">
        <w:rPr>
          <w:rFonts w:ascii="Times New Roman" w:eastAsia="Times New Roman" w:hAnsi="Times New Roman" w:cs="Times New Roman"/>
          <w:sz w:val="28"/>
          <w:szCs w:val="28"/>
        </w:rPr>
        <w:t>- громадським об’єднанням фізкультурно-спортивної спрямованості, що є неприбутковими організаціями, внесеними до Реєстру неприбуткових установ та організацій, утворені ними спортивні клуби (крім спортивних клубів, що займаються професійним спортом), що є неприбутковими організаціями, внесеними до Реєстру неприбуткових установ та організацій, - виключно для проведення спортивних заходів або надання послуг у сфері фізичної культури і спорту;</w:t>
      </w:r>
    </w:p>
    <w:p w:rsidR="00346F5D" w:rsidRPr="00635353" w:rsidRDefault="00346F5D" w:rsidP="00346F5D">
      <w:pPr>
        <w:shd w:val="clear" w:color="auto" w:fill="FFFFFF"/>
        <w:spacing w:after="0" w:line="240" w:lineRule="auto"/>
        <w:ind w:firstLine="475"/>
        <w:jc w:val="both"/>
        <w:rPr>
          <w:rFonts w:ascii="Times New Roman" w:eastAsia="Times New Roman" w:hAnsi="Times New Roman" w:cs="Times New Roman"/>
          <w:sz w:val="28"/>
          <w:szCs w:val="28"/>
        </w:rPr>
      </w:pPr>
      <w:r w:rsidRPr="00635353">
        <w:rPr>
          <w:rFonts w:ascii="Times New Roman" w:eastAsia="Times New Roman" w:hAnsi="Times New Roman" w:cs="Times New Roman"/>
          <w:sz w:val="28"/>
          <w:szCs w:val="28"/>
        </w:rPr>
        <w:t>- молодіжним та дитячим громадським об’єднанням, які протягом останніх двох років, що передують року звернення, співпрацюють з органами державної влади та/або органами місцевого самоврядування щодо виконання державних цільових, регіональних, місцевих та інших програм у сфері молодіжної політики;</w:t>
      </w:r>
    </w:p>
    <w:p w:rsidR="00240F17" w:rsidRDefault="00346F5D" w:rsidP="00346F5D">
      <w:pPr>
        <w:shd w:val="clear" w:color="auto" w:fill="FFFFFF"/>
        <w:spacing w:after="0" w:line="240" w:lineRule="auto"/>
        <w:ind w:firstLine="475"/>
        <w:jc w:val="both"/>
        <w:rPr>
          <w:rFonts w:ascii="Times New Roman" w:eastAsia="Times New Roman" w:hAnsi="Times New Roman" w:cs="Times New Roman"/>
          <w:sz w:val="28"/>
          <w:szCs w:val="28"/>
        </w:rPr>
      </w:pPr>
      <w:bookmarkStart w:id="23" w:name="n522"/>
      <w:bookmarkEnd w:id="23"/>
      <w:r w:rsidRPr="00635353">
        <w:rPr>
          <w:rFonts w:ascii="Times New Roman" w:eastAsia="Times New Roman" w:hAnsi="Times New Roman" w:cs="Times New Roman"/>
          <w:sz w:val="28"/>
          <w:szCs w:val="28"/>
        </w:rPr>
        <w:t>- молодіжним центрам, що є неприбутковими установами державної та комунальної форм власності.</w:t>
      </w:r>
      <w:r>
        <w:rPr>
          <w:rFonts w:ascii="Times New Roman" w:eastAsia="Times New Roman" w:hAnsi="Times New Roman" w:cs="Times New Roman"/>
          <w:sz w:val="28"/>
          <w:szCs w:val="28"/>
        </w:rPr>
        <w:t xml:space="preserve"> </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 Розмір річної орендної плати у разі оренди іншого окремого індивідуально визначеного майна (крім транспортних засобів) встановлюється на рівні 12 відсотків вартості об'єкта оренди.</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Розмір річної орендної плати у разі оренди транспортних засобів встановлюється на рівні 10 відсотків вартості об'єкта оренди.</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 Розмір місячної орендної плати у розмірі 1 гривні за 1 кв. метр занедбаної пам'ятки архітектури встановлюється кваліфікованій особі, визначеній пунктом 183 Порядку передачі в оренду державного та комунального майна, затвердженого постановою Кабінету Міністрів України від 3 червня 2020 року № 483 «Деякі питання оренди державного та комунального майна» (далі – Порядок), на підставі рішення орендодавця, прийнятого відповідно до пункту 191 Порядку, орендарям, які отримали таку</w:t>
      </w:r>
    </w:p>
    <w:p w:rsidR="000E14A2" w:rsidRDefault="00F27E52">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пам'ятку в довгострокову пільгову оренду відповідно до пунктів 183 – 191 Порядку.</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 Встановлення орендної плати здійснюється з урахуванням вимог Закону України «Про державну допомогу суб'єктам господарювання» для:</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суб'єктів господарювання, передбачених частиною другою статті 15 Закону;</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підприємств, установ, організацій, включених відповідно до рішення Кабінету Міністрів України або рішень представницьких органів місцевого </w:t>
      </w:r>
      <w:r>
        <w:rPr>
          <w:rFonts w:ascii="Times New Roman" w:eastAsia="Times New Roman" w:hAnsi="Times New Roman" w:cs="Times New Roman"/>
          <w:sz w:val="28"/>
          <w:szCs w:val="28"/>
        </w:rPr>
        <w:lastRenderedPageBreak/>
        <w:t>самоврядування, до переліку підприємств, установ, організацій, що надають соціально важливі послуги населенню, – у разі встановлення орендної плати нарівні нижчому, ніж визначено пунктом 52 Порядку.</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 Якщо орендна плата визначена на підставі цієї Методики (крім пункту 13 цієї Методики) або абзацу четвертого частини сьомої статті 18 Закону (орендна плата за базовий місяць) і при цьому між датою визначення орендної плати за базовий місяць і датою підписання акта приймання-передачі минуло більше ніж один повний календарний місяць, розмір орендної плати за перший місяць оренди встановлюється шляхом коригування орендної плати за базовий місяць на індекс інфляції у місяцях, що минули з дати визначення орендної плати за базовий місяць.</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 Якщо орендна плата визначена за результатами проведення аукціону, орендна плата за січень - грудень року оренди, наступного за роком, на який припадає перший місяць оренди, визначається шляхом коригування орендної плати за повний перший місяць оренди на річний індекс інфляції року, на який припадає перший місяць оренди. Орендна плата за січень - грудень третього і кожного наступного календарного року оренди визначається шляхом коригування місячної орендної плати, що сплачувалася у попередньому році, на середньорічний індекс інфляції такого року.</w:t>
      </w:r>
    </w:p>
    <w:p w:rsidR="000E14A2" w:rsidRDefault="00F27E52">
      <w:pPr>
        <w:shd w:val="clear" w:color="auto" w:fill="FFFFFF"/>
        <w:spacing w:after="0" w:line="240" w:lineRule="auto"/>
        <w:ind w:firstLine="4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Орендна плата, встановлена відповідно до пункту 13 цієї Методики, не підлягає коригуванню на індекс інфляції.</w:t>
      </w:r>
    </w:p>
    <w:p w:rsidR="00F27E52" w:rsidRPr="00CF0EC9" w:rsidRDefault="00F27E52" w:rsidP="00F27E52">
      <w:pPr>
        <w:shd w:val="clear" w:color="auto" w:fill="FFFFFF"/>
        <w:spacing w:after="0" w:line="240" w:lineRule="auto"/>
        <w:ind w:firstLine="475"/>
        <w:jc w:val="both"/>
        <w:rPr>
          <w:rFonts w:ascii="Times New Roman" w:eastAsia="Times New Roman" w:hAnsi="Times New Roman" w:cs="Times New Roman"/>
          <w:sz w:val="28"/>
          <w:szCs w:val="28"/>
        </w:rPr>
      </w:pPr>
      <w:r w:rsidRPr="00CF0EC9">
        <w:rPr>
          <w:rFonts w:ascii="Times New Roman" w:eastAsia="Times New Roman" w:hAnsi="Times New Roman" w:cs="Times New Roman"/>
          <w:sz w:val="28"/>
          <w:szCs w:val="28"/>
        </w:rPr>
        <w:t>19. У разі</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оренди</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дипломатичними</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представництвами, консульськими</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установами</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іноземних держав, представництвами</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міжнародних</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організацій в Україні</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іншого</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окремого</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індивідуально</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визначеного майна розмір</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річної</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орендної плати встановлюється на рівні 12 відсотків</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вартості</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орендованого майна за результатами незалежної</w:t>
      </w:r>
      <w:r w:rsidR="00B53A67">
        <w:rPr>
          <w:rFonts w:ascii="Times New Roman" w:eastAsia="Times New Roman" w:hAnsi="Times New Roman" w:cs="Times New Roman"/>
          <w:sz w:val="28"/>
          <w:szCs w:val="28"/>
        </w:rPr>
        <w:t xml:space="preserve"> </w:t>
      </w:r>
      <w:r w:rsidRPr="00CF0EC9">
        <w:rPr>
          <w:rFonts w:ascii="Times New Roman" w:eastAsia="Times New Roman" w:hAnsi="Times New Roman" w:cs="Times New Roman"/>
          <w:sz w:val="28"/>
          <w:szCs w:val="28"/>
        </w:rPr>
        <w:t>оцінки.</w:t>
      </w:r>
    </w:p>
    <w:p w:rsidR="000E14A2" w:rsidRPr="00CF0EC9" w:rsidRDefault="000E14A2">
      <w:pPr>
        <w:shd w:val="clear" w:color="auto" w:fill="FFFFFF"/>
        <w:spacing w:after="0" w:line="240" w:lineRule="auto"/>
        <w:ind w:firstLine="475"/>
        <w:jc w:val="both"/>
        <w:rPr>
          <w:rFonts w:ascii="Times New Roman" w:eastAsia="Times New Roman" w:hAnsi="Times New Roman" w:cs="Times New Roman"/>
          <w:sz w:val="28"/>
          <w:szCs w:val="28"/>
        </w:rPr>
      </w:pPr>
    </w:p>
    <w:p w:rsidR="00F27E52" w:rsidRDefault="00F27E52">
      <w:pPr>
        <w:shd w:val="clear" w:color="auto" w:fill="FFFFFF"/>
        <w:spacing w:after="0" w:line="240" w:lineRule="auto"/>
        <w:ind w:firstLine="475"/>
        <w:jc w:val="both"/>
        <w:rPr>
          <w:rFonts w:ascii="Times New Roman" w:eastAsia="Times New Roman" w:hAnsi="Times New Roman" w:cs="Times New Roman"/>
          <w:sz w:val="28"/>
          <w:szCs w:val="28"/>
        </w:rPr>
      </w:pPr>
    </w:p>
    <w:p w:rsidR="008C5240" w:rsidRPr="004D780C" w:rsidRDefault="004D780C" w:rsidP="00950A9D">
      <w:pPr>
        <w:shd w:val="clear" w:color="auto" w:fill="FFFFFF"/>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Секретар сільської ради</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00950A9D" w:rsidRPr="004D780C">
        <w:rPr>
          <w:rFonts w:ascii="Times New Roman" w:eastAsia="Times New Roman" w:hAnsi="Times New Roman" w:cs="Times New Roman"/>
          <w:b/>
          <w:sz w:val="28"/>
          <w:szCs w:val="28"/>
        </w:rPr>
        <w:tab/>
      </w:r>
      <w:r w:rsidR="00950A9D" w:rsidRPr="004D780C">
        <w:rPr>
          <w:rFonts w:ascii="Times New Roman" w:eastAsia="Times New Roman" w:hAnsi="Times New Roman" w:cs="Times New Roman"/>
          <w:b/>
          <w:sz w:val="28"/>
          <w:szCs w:val="28"/>
        </w:rPr>
        <w:tab/>
        <w:t xml:space="preserve">Світлана КОСТЮК </w:t>
      </w:r>
    </w:p>
    <w:p w:rsidR="008C5240" w:rsidRDefault="008C5240">
      <w:pPr>
        <w:shd w:val="clear" w:color="auto" w:fill="FFFFFF"/>
        <w:spacing w:after="0" w:line="240" w:lineRule="auto"/>
        <w:ind w:firstLine="475"/>
        <w:jc w:val="both"/>
        <w:rPr>
          <w:rFonts w:ascii="Times New Roman" w:eastAsia="Times New Roman" w:hAnsi="Times New Roman" w:cs="Times New Roman"/>
          <w:sz w:val="28"/>
          <w:szCs w:val="28"/>
        </w:rPr>
      </w:pPr>
    </w:p>
    <w:p w:rsidR="008C5240" w:rsidRDefault="008C5240">
      <w:pPr>
        <w:shd w:val="clear" w:color="auto" w:fill="FFFFFF"/>
        <w:spacing w:after="0" w:line="240" w:lineRule="auto"/>
        <w:ind w:firstLine="475"/>
        <w:jc w:val="both"/>
        <w:rPr>
          <w:rFonts w:ascii="Times New Roman" w:eastAsia="Times New Roman" w:hAnsi="Times New Roman" w:cs="Times New Roman"/>
          <w:sz w:val="28"/>
          <w:szCs w:val="28"/>
        </w:rPr>
      </w:pPr>
    </w:p>
    <w:p w:rsidR="008C5240" w:rsidRDefault="008C5240">
      <w:pPr>
        <w:shd w:val="clear" w:color="auto" w:fill="FFFFFF"/>
        <w:spacing w:after="0" w:line="240" w:lineRule="auto"/>
        <w:ind w:firstLine="475"/>
        <w:jc w:val="both"/>
        <w:rPr>
          <w:rFonts w:ascii="Times New Roman" w:eastAsia="Times New Roman" w:hAnsi="Times New Roman" w:cs="Times New Roman"/>
          <w:sz w:val="28"/>
          <w:szCs w:val="28"/>
        </w:rPr>
      </w:pPr>
    </w:p>
    <w:p w:rsidR="000D50BF" w:rsidRDefault="000D50BF">
      <w:pPr>
        <w:shd w:val="clear" w:color="auto" w:fill="FFFFFF"/>
        <w:spacing w:after="0" w:line="240" w:lineRule="auto"/>
        <w:ind w:firstLine="475"/>
        <w:jc w:val="both"/>
        <w:rPr>
          <w:rFonts w:ascii="Times New Roman" w:eastAsia="Times New Roman" w:hAnsi="Times New Roman" w:cs="Times New Roman"/>
          <w:sz w:val="28"/>
          <w:szCs w:val="28"/>
        </w:rPr>
      </w:pPr>
    </w:p>
    <w:p w:rsidR="008C5240" w:rsidRDefault="008C5240">
      <w:pPr>
        <w:shd w:val="clear" w:color="auto" w:fill="FFFFFF"/>
        <w:spacing w:after="0" w:line="240" w:lineRule="auto"/>
        <w:ind w:firstLine="475"/>
        <w:jc w:val="both"/>
        <w:rPr>
          <w:rFonts w:ascii="Times New Roman" w:eastAsia="Times New Roman" w:hAnsi="Times New Roman" w:cs="Times New Roman"/>
          <w:sz w:val="28"/>
          <w:szCs w:val="28"/>
        </w:rPr>
      </w:pPr>
    </w:p>
    <w:p w:rsidR="008C5240" w:rsidRDefault="008C5240">
      <w:pPr>
        <w:shd w:val="clear" w:color="auto" w:fill="FFFFFF"/>
        <w:spacing w:after="0" w:line="240" w:lineRule="auto"/>
        <w:ind w:firstLine="475"/>
        <w:jc w:val="both"/>
        <w:rPr>
          <w:rFonts w:ascii="Times New Roman" w:eastAsia="Times New Roman" w:hAnsi="Times New Roman" w:cs="Times New Roman"/>
          <w:sz w:val="28"/>
          <w:szCs w:val="28"/>
        </w:rPr>
      </w:pPr>
    </w:p>
    <w:tbl>
      <w:tblPr>
        <w:tblStyle w:val="ab"/>
        <w:tblW w:w="9361" w:type="dxa"/>
        <w:tblInd w:w="5" w:type="dxa"/>
        <w:tblLayout w:type="fixed"/>
        <w:tblLook w:val="0400" w:firstRow="0" w:lastRow="0" w:firstColumn="0" w:lastColumn="0" w:noHBand="0" w:noVBand="1"/>
      </w:tblPr>
      <w:tblGrid>
        <w:gridCol w:w="9361"/>
      </w:tblGrid>
      <w:tr w:rsidR="000E14A2" w:rsidTr="009207B8">
        <w:tc>
          <w:tcPr>
            <w:tcW w:w="9361" w:type="dxa"/>
          </w:tcPr>
          <w:p w:rsidR="000E14A2" w:rsidRDefault="00F27E52">
            <w:pPr>
              <w:pBdr>
                <w:top w:val="nil"/>
                <w:left w:val="nil"/>
                <w:bottom w:val="nil"/>
                <w:right w:val="nil"/>
                <w:between w:val="nil"/>
              </w:pBdr>
              <w:spacing w:before="158" w:after="158" w:line="240" w:lineRule="auto"/>
              <w:jc w:val="right"/>
              <w:rPr>
                <w:rFonts w:ascii="Times New Roman" w:eastAsia="Times New Roman" w:hAnsi="Times New Roman" w:cs="Times New Roman"/>
                <w:color w:val="000000"/>
                <w:sz w:val="24"/>
                <w:szCs w:val="24"/>
              </w:rPr>
            </w:pPr>
            <w:bookmarkStart w:id="24" w:name="_2xcytpi" w:colFirst="0" w:colLast="0"/>
            <w:bookmarkEnd w:id="24"/>
            <w:r>
              <w:rPr>
                <w:rFonts w:ascii="Times New Roman" w:eastAsia="Times New Roman" w:hAnsi="Times New Roman" w:cs="Times New Roman"/>
                <w:color w:val="000000"/>
                <w:sz w:val="24"/>
                <w:szCs w:val="24"/>
              </w:rPr>
              <w:t>Додаток 1</w:t>
            </w:r>
            <w:r>
              <w:rPr>
                <w:rFonts w:ascii="Times New Roman" w:eastAsia="Times New Roman" w:hAnsi="Times New Roman" w:cs="Times New Roman"/>
                <w:color w:val="000000"/>
                <w:sz w:val="24"/>
                <w:szCs w:val="24"/>
              </w:rPr>
              <w:br/>
              <w:t>до Методики</w:t>
            </w:r>
          </w:p>
        </w:tc>
      </w:tr>
    </w:tbl>
    <w:p w:rsidR="000E14A2" w:rsidRDefault="00F27E52">
      <w:pPr>
        <w:pBdr>
          <w:top w:val="nil"/>
          <w:left w:val="nil"/>
          <w:bottom w:val="nil"/>
          <w:right w:val="nil"/>
          <w:between w:val="nil"/>
        </w:pBdr>
        <w:shd w:val="clear" w:color="auto" w:fill="FFFFFF"/>
        <w:spacing w:before="158" w:after="158" w:line="240" w:lineRule="auto"/>
        <w:ind w:left="475" w:right="475"/>
        <w:jc w:val="center"/>
        <w:rPr>
          <w:rFonts w:ascii="Times New Roman" w:eastAsia="Times New Roman" w:hAnsi="Times New Roman" w:cs="Times New Roman"/>
          <w:color w:val="333333"/>
          <w:sz w:val="25"/>
          <w:szCs w:val="25"/>
        </w:rPr>
      </w:pPr>
      <w:bookmarkStart w:id="25" w:name="1ci93xb" w:colFirst="0" w:colLast="0"/>
      <w:bookmarkEnd w:id="25"/>
      <w:r>
        <w:rPr>
          <w:rFonts w:ascii="Times New Roman" w:eastAsia="Times New Roman" w:hAnsi="Times New Roman" w:cs="Times New Roman"/>
          <w:b/>
          <w:color w:val="333333"/>
          <w:sz w:val="28"/>
          <w:szCs w:val="28"/>
        </w:rPr>
        <w:t>ОРЕНДНІ</w:t>
      </w:r>
      <w:r>
        <w:rPr>
          <w:rFonts w:ascii="Times New Roman" w:eastAsia="Times New Roman" w:hAnsi="Times New Roman" w:cs="Times New Roman"/>
          <w:color w:val="333333"/>
          <w:sz w:val="25"/>
          <w:szCs w:val="25"/>
        </w:rPr>
        <w:br/>
      </w:r>
      <w:r>
        <w:rPr>
          <w:rFonts w:ascii="Times New Roman" w:eastAsia="Times New Roman" w:hAnsi="Times New Roman" w:cs="Times New Roman"/>
          <w:b/>
          <w:color w:val="333333"/>
          <w:sz w:val="28"/>
          <w:szCs w:val="28"/>
        </w:rPr>
        <w:t>ставки для договорів оренди комунального майна</w:t>
      </w:r>
    </w:p>
    <w:tbl>
      <w:tblPr>
        <w:tblStyle w:val="ac"/>
        <w:tblW w:w="947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07"/>
        <w:gridCol w:w="2468"/>
      </w:tblGrid>
      <w:tr w:rsidR="000E14A2" w:rsidTr="009207B8">
        <w:trPr>
          <w:jc w:val="center"/>
        </w:trPr>
        <w:tc>
          <w:tcPr>
            <w:tcW w:w="7007"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bookmarkStart w:id="26" w:name="3whwml4" w:colFirst="0" w:colLast="0"/>
            <w:bookmarkEnd w:id="26"/>
            <w:r>
              <w:rPr>
                <w:rFonts w:ascii="Times New Roman" w:eastAsia="Times New Roman" w:hAnsi="Times New Roman" w:cs="Times New Roman"/>
                <w:color w:val="000000"/>
                <w:sz w:val="24"/>
                <w:szCs w:val="24"/>
              </w:rPr>
              <w:t>Орендарі</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Орендна ставка, відсотків</w:t>
            </w:r>
          </w:p>
        </w:tc>
      </w:tr>
      <w:tr w:rsidR="00E64BCE" w:rsidTr="009207B8">
        <w:trPr>
          <w:jc w:val="center"/>
        </w:trPr>
        <w:tc>
          <w:tcPr>
            <w:tcW w:w="7007" w:type="dxa"/>
          </w:tcPr>
          <w:p w:rsidR="00E64BCE" w:rsidRDefault="00E64BCE">
            <w:pPr>
              <w:pStyle w:val="rvps14"/>
              <w:spacing w:before="150" w:beforeAutospacing="0" w:after="150" w:afterAutospacing="0"/>
              <w:rPr>
                <w:color w:val="333333"/>
              </w:rPr>
            </w:pPr>
            <w:r>
              <w:rPr>
                <w:color w:val="333333"/>
              </w:rPr>
              <w:t xml:space="preserve">1. Для організації та проведення науково-практичних, культурних, мистецьких, громадських, суспільних та політичних заходів на строк, що не перевищує  30 календарних днів протягом одного року щодо кожного орендаря, якщо балансоутримувачем є державне або комунальне підприємство, установа, організація, що </w:t>
            </w:r>
            <w:r>
              <w:rPr>
                <w:color w:val="333333"/>
              </w:rPr>
              <w:lastRenderedPageBreak/>
              <w:t>провадить діяльність з організації конгресів і торговельних виставок</w:t>
            </w:r>
          </w:p>
        </w:tc>
        <w:tc>
          <w:tcPr>
            <w:tcW w:w="2468" w:type="dxa"/>
          </w:tcPr>
          <w:p w:rsidR="00E64BCE" w:rsidRDefault="00E64BCE">
            <w:pPr>
              <w:pStyle w:val="rvps12"/>
              <w:spacing w:before="150" w:beforeAutospacing="0" w:after="150" w:afterAutospacing="0"/>
              <w:jc w:val="center"/>
              <w:rPr>
                <w:color w:val="333333"/>
              </w:rPr>
            </w:pPr>
            <w:r>
              <w:rPr>
                <w:color w:val="333333"/>
              </w:rPr>
              <w:lastRenderedPageBreak/>
              <w:t>10</w:t>
            </w:r>
          </w:p>
        </w:tc>
      </w:tr>
      <w:tr w:rsidR="00E64BCE" w:rsidTr="009207B8">
        <w:trPr>
          <w:jc w:val="center"/>
        </w:trPr>
        <w:tc>
          <w:tcPr>
            <w:tcW w:w="7007" w:type="dxa"/>
          </w:tcPr>
          <w:p w:rsidR="00E64BCE" w:rsidRDefault="00E64BCE" w:rsidP="00AB4094">
            <w:pPr>
              <w:pStyle w:val="rvps14"/>
              <w:spacing w:before="150" w:beforeAutospacing="0" w:after="150" w:afterAutospacing="0"/>
              <w:rPr>
                <w:color w:val="333333"/>
              </w:rPr>
            </w:pPr>
            <w:r>
              <w:rPr>
                <w:color w:val="333333"/>
              </w:rPr>
              <w:lastRenderedPageBreak/>
              <w:t>2. Приватні заклади освіти (суб’єкти підприємницької діяльності), які мають ліцензію на надання освітніх послуг у відповідній сфері (крім закладів освіти і суб’єктів підприємницької діяльності, визначених у пунктах 1</w:t>
            </w:r>
            <w:r w:rsidR="00AB4094">
              <w:rPr>
                <w:color w:val="333333"/>
              </w:rPr>
              <w:t>0</w:t>
            </w:r>
            <w:r>
              <w:rPr>
                <w:color w:val="333333"/>
              </w:rPr>
              <w:t xml:space="preserve"> та 1</w:t>
            </w:r>
            <w:r w:rsidR="00AB4094">
              <w:rPr>
                <w:color w:val="333333"/>
              </w:rPr>
              <w:t>6</w:t>
            </w:r>
            <w:r>
              <w:rPr>
                <w:color w:val="333333"/>
              </w:rPr>
              <w:t xml:space="preserve"> цього додатка), на площі, що використовується для надання ліцензійних послуг</w:t>
            </w:r>
          </w:p>
        </w:tc>
        <w:tc>
          <w:tcPr>
            <w:tcW w:w="2468" w:type="dxa"/>
          </w:tcPr>
          <w:p w:rsidR="00E64BCE" w:rsidRDefault="00E64BCE">
            <w:pPr>
              <w:pStyle w:val="rvps12"/>
              <w:spacing w:before="150" w:beforeAutospacing="0" w:after="150" w:afterAutospacing="0"/>
              <w:jc w:val="center"/>
              <w:rPr>
                <w:color w:val="333333"/>
              </w:rPr>
            </w:pPr>
            <w:r>
              <w:rPr>
                <w:color w:val="333333"/>
              </w:rPr>
              <w:t>10</w:t>
            </w:r>
          </w:p>
        </w:tc>
      </w:tr>
      <w:tr w:rsidR="00E64BCE" w:rsidTr="009207B8">
        <w:trPr>
          <w:jc w:val="center"/>
        </w:trPr>
        <w:tc>
          <w:tcPr>
            <w:tcW w:w="7007" w:type="dxa"/>
          </w:tcPr>
          <w:p w:rsidR="00E64BCE" w:rsidRDefault="00E64BCE">
            <w:pPr>
              <w:pStyle w:val="rvps14"/>
              <w:spacing w:before="150" w:beforeAutospacing="0" w:after="150" w:afterAutospacing="0"/>
              <w:rPr>
                <w:color w:val="333333"/>
              </w:rPr>
            </w:pPr>
            <w:r>
              <w:rPr>
                <w:color w:val="333333"/>
              </w:rPr>
              <w:t>3. Для організації та проведення науково-практичних, культурних, мистецьких, громадських, суспільних та політичних заходів на строк, що не перевищує п’яти календарних днів протягом шести місяців, а також щодо майна, яке передається суб’єктам виборчого процесу з метою проведення публічних заходів (зборів, дебатів, дискусій) під час та на період виборчої кампанії</w:t>
            </w:r>
          </w:p>
        </w:tc>
        <w:tc>
          <w:tcPr>
            <w:tcW w:w="2468" w:type="dxa"/>
          </w:tcPr>
          <w:p w:rsidR="00E64BCE" w:rsidRDefault="00E64BCE">
            <w:pPr>
              <w:pStyle w:val="rvps12"/>
              <w:spacing w:before="150" w:beforeAutospacing="0" w:after="150" w:afterAutospacing="0"/>
              <w:jc w:val="center"/>
              <w:rPr>
                <w:color w:val="333333"/>
              </w:rPr>
            </w:pPr>
            <w:r>
              <w:rPr>
                <w:color w:val="333333"/>
              </w:rPr>
              <w:t>8</w:t>
            </w:r>
          </w:p>
        </w:tc>
      </w:tr>
      <w:tr w:rsidR="00E973A1" w:rsidTr="009207B8">
        <w:trPr>
          <w:jc w:val="center"/>
        </w:trPr>
        <w:tc>
          <w:tcPr>
            <w:tcW w:w="7007" w:type="dxa"/>
          </w:tcPr>
          <w:p w:rsidR="00E973A1" w:rsidRDefault="00E973A1" w:rsidP="006E0A97">
            <w:pPr>
              <w:pStyle w:val="rvps14"/>
              <w:spacing w:before="150" w:beforeAutospacing="0" w:after="150" w:afterAutospacing="0"/>
              <w:rPr>
                <w:color w:val="333333"/>
              </w:rPr>
            </w:pPr>
            <w:r>
              <w:rPr>
                <w:color w:val="333333"/>
              </w:rPr>
              <w:t>4. Державні підприємства, установи, організації/ громадські організації у сфері культури і мистецтв (у тому числі національні творчі спілки або їх члени під творчі майстерні)</w:t>
            </w:r>
          </w:p>
        </w:tc>
        <w:tc>
          <w:tcPr>
            <w:tcW w:w="2468" w:type="dxa"/>
          </w:tcPr>
          <w:p w:rsidR="00E973A1" w:rsidRDefault="00E973A1">
            <w:pPr>
              <w:pStyle w:val="rvps12"/>
              <w:spacing w:before="150" w:beforeAutospacing="0" w:after="150" w:afterAutospacing="0"/>
              <w:jc w:val="center"/>
              <w:rPr>
                <w:color w:val="333333"/>
              </w:rPr>
            </w:pPr>
            <w:r>
              <w:rPr>
                <w:color w:val="333333"/>
              </w:rPr>
              <w:t>4</w:t>
            </w:r>
          </w:p>
        </w:tc>
      </w:tr>
      <w:tr w:rsidR="000E14A2" w:rsidTr="009207B8">
        <w:trPr>
          <w:jc w:val="center"/>
        </w:trPr>
        <w:tc>
          <w:tcPr>
            <w:tcW w:w="7007" w:type="dxa"/>
          </w:tcPr>
          <w:p w:rsidR="000E14A2"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Державні видавництва і підприємства книгорозповсюдження</w:t>
            </w:r>
          </w:p>
        </w:tc>
        <w:tc>
          <w:tcPr>
            <w:tcW w:w="2468" w:type="dxa"/>
          </w:tcPr>
          <w:p w:rsidR="000E14A2" w:rsidRDefault="00D217A6">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0E14A2" w:rsidTr="009207B8">
        <w:trPr>
          <w:jc w:val="center"/>
        </w:trPr>
        <w:tc>
          <w:tcPr>
            <w:tcW w:w="7007" w:type="dxa"/>
          </w:tcPr>
          <w:p w:rsidR="000E14A2"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Вітчизняні видавництва та підприємства книгорозповсюдження, що забезпечують підготовку, випуск та (або) розповсюдження не менш як 50 відсотків книжкової продукції державною мовою (за винятком видань рекламного та еротичного характеру)</w:t>
            </w:r>
          </w:p>
        </w:tc>
        <w:tc>
          <w:tcPr>
            <w:tcW w:w="2468" w:type="dxa"/>
          </w:tcPr>
          <w:p w:rsidR="000E14A2" w:rsidRDefault="00D217A6">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0E14A2" w:rsidTr="009207B8">
        <w:trPr>
          <w:jc w:val="center"/>
        </w:trPr>
        <w:tc>
          <w:tcPr>
            <w:tcW w:w="7007" w:type="dxa"/>
          </w:tcPr>
          <w:p w:rsidR="000E14A2" w:rsidRDefault="00F27E52" w:rsidP="006E0A97">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Дипломатичні представництва, консульські установи іноземних держав, представництва міжнародних організацій в Україні (крім договорів, орендна плата за якими врегульована міжнародними договорами України, згода на обов’язковість яких надана Верховною Радою України)</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0E14A2" w:rsidTr="009207B8">
        <w:trPr>
          <w:jc w:val="center"/>
        </w:trPr>
        <w:tc>
          <w:tcPr>
            <w:tcW w:w="7007" w:type="dxa"/>
          </w:tcPr>
          <w:p w:rsidR="000E14A2"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разі оренди дипломатичними представництвами, консульськими установами іноземних держав, представництвами міжнародних організацій в Україні іншого окремого індивідуально визначеного майна                                                                                                                                </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r>
      <w:tr w:rsidR="000E14A2" w:rsidTr="009207B8">
        <w:trPr>
          <w:jc w:val="center"/>
        </w:trPr>
        <w:tc>
          <w:tcPr>
            <w:tcW w:w="7007" w:type="dxa"/>
          </w:tcPr>
          <w:p w:rsidR="000E14A2" w:rsidRDefault="00F27E52" w:rsidP="00D9092E">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Державні заклади освіти, що частково фі</w:t>
            </w:r>
            <w:r w:rsidR="00D217A6">
              <w:rPr>
                <w:rFonts w:ascii="Times New Roman" w:eastAsia="Times New Roman" w:hAnsi="Times New Roman" w:cs="Times New Roman"/>
                <w:color w:val="000000"/>
                <w:sz w:val="24"/>
                <w:szCs w:val="24"/>
              </w:rPr>
              <w:t xml:space="preserve">нансуються з державного бюджету або </w:t>
            </w:r>
            <w:r w:rsidR="00C11F96">
              <w:rPr>
                <w:rFonts w:ascii="Times New Roman" w:eastAsia="Times New Roman" w:hAnsi="Times New Roman" w:cs="Times New Roman"/>
                <w:color w:val="000000"/>
                <w:sz w:val="24"/>
                <w:szCs w:val="24"/>
              </w:rPr>
              <w:t xml:space="preserve">бюджетів інших територіальних громад (крім бюджету </w:t>
            </w:r>
            <w:r w:rsidR="009207B8">
              <w:rPr>
                <w:rFonts w:ascii="Times New Roman" w:eastAsia="Times New Roman" w:hAnsi="Times New Roman" w:cs="Times New Roman"/>
                <w:color w:val="000000"/>
                <w:sz w:val="24"/>
                <w:szCs w:val="24"/>
              </w:rPr>
              <w:t>Петрівської сільської територіальної громади</w:t>
            </w:r>
            <w:r w:rsidR="00C11F96">
              <w:rPr>
                <w:rFonts w:ascii="Times New Roman" w:eastAsia="Times New Roman" w:hAnsi="Times New Roman" w:cs="Times New Roman"/>
                <w:color w:val="000000"/>
                <w:sz w:val="24"/>
                <w:szCs w:val="24"/>
              </w:rPr>
              <w:t>)</w:t>
            </w:r>
            <w:r w:rsidR="00D217A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які мають ліцензію на провадження освітньої діяльності у відповідній сфері </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0E14A2" w:rsidTr="009207B8">
        <w:trPr>
          <w:jc w:val="center"/>
        </w:trPr>
        <w:tc>
          <w:tcPr>
            <w:tcW w:w="7007" w:type="dxa"/>
          </w:tcPr>
          <w:p w:rsidR="000E14A2"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Заклади освіти, що мають ліцензію на провадження освітньої діяльності та засновані неприбутковими громадськими об’єднаннями, які отримують державне фінансування з держав - членів ЄС</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C74D57" w:rsidTr="009207B8">
        <w:trPr>
          <w:jc w:val="center"/>
        </w:trPr>
        <w:tc>
          <w:tcPr>
            <w:tcW w:w="7007" w:type="dxa"/>
          </w:tcPr>
          <w:p w:rsidR="00C74D57" w:rsidRDefault="00C74D57" w:rsidP="00C11F96">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43607C">
              <w:rPr>
                <w:rFonts w:ascii="Times New Roman" w:eastAsia="Times New Roman" w:hAnsi="Times New Roman" w:cs="Times New Roman"/>
                <w:color w:val="000000"/>
                <w:sz w:val="24"/>
                <w:szCs w:val="24"/>
              </w:rPr>
              <w:t xml:space="preserve">10. Приватні заклади загальної середньої освіти (суб’єкти підприємницької діяльності), які мають ліцензію на провадження </w:t>
            </w:r>
            <w:r w:rsidRPr="0043607C">
              <w:rPr>
                <w:rFonts w:ascii="Times New Roman" w:eastAsia="Times New Roman" w:hAnsi="Times New Roman" w:cs="Times New Roman"/>
                <w:color w:val="000000"/>
                <w:sz w:val="24"/>
                <w:szCs w:val="24"/>
              </w:rPr>
              <w:lastRenderedPageBreak/>
              <w:t>освітньої діяльності у відповідній сфері, на площі, що використовується для надання ліцензійних послуг</w:t>
            </w:r>
          </w:p>
        </w:tc>
        <w:tc>
          <w:tcPr>
            <w:tcW w:w="2468" w:type="dxa"/>
          </w:tcPr>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w:t>
            </w:r>
          </w:p>
        </w:tc>
      </w:tr>
      <w:tr w:rsidR="000E14A2" w:rsidTr="009207B8">
        <w:trPr>
          <w:jc w:val="center"/>
        </w:trPr>
        <w:tc>
          <w:tcPr>
            <w:tcW w:w="7007" w:type="dxa"/>
          </w:tcPr>
          <w:p w:rsidR="000E14A2" w:rsidRDefault="00F27E52" w:rsidP="00C11F96">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11. Установи і організації, діяльність яких частково фінансується за рахунок державного бюджету</w:t>
            </w:r>
            <w:r w:rsidR="00D217A6">
              <w:rPr>
                <w:rFonts w:ascii="Times New Roman" w:eastAsia="Times New Roman" w:hAnsi="Times New Roman" w:cs="Times New Roman"/>
                <w:color w:val="000000"/>
                <w:sz w:val="24"/>
                <w:szCs w:val="24"/>
              </w:rPr>
              <w:t xml:space="preserve"> або </w:t>
            </w:r>
            <w:r w:rsidR="00C11F96" w:rsidRPr="00C11F96">
              <w:rPr>
                <w:rFonts w:ascii="Times New Roman" w:eastAsia="Times New Roman" w:hAnsi="Times New Roman" w:cs="Times New Roman"/>
                <w:color w:val="000000"/>
                <w:sz w:val="24"/>
                <w:szCs w:val="24"/>
              </w:rPr>
              <w:t xml:space="preserve">бюджетів інших територіальних громад (крім бюджету </w:t>
            </w:r>
            <w:r w:rsidR="009207B8">
              <w:rPr>
                <w:rFonts w:ascii="Times New Roman" w:eastAsia="Times New Roman" w:hAnsi="Times New Roman" w:cs="Times New Roman"/>
                <w:color w:val="000000"/>
                <w:sz w:val="24"/>
                <w:szCs w:val="24"/>
              </w:rPr>
              <w:t>Петрівської сільської територіальної громади</w:t>
            </w:r>
            <w:r w:rsidR="00C11F96" w:rsidRPr="00C11F96">
              <w:rPr>
                <w:rFonts w:ascii="Times New Roman" w:eastAsia="Times New Roman" w:hAnsi="Times New Roman" w:cs="Times New Roman"/>
                <w:color w:val="000000"/>
                <w:sz w:val="24"/>
                <w:szCs w:val="24"/>
              </w:rPr>
              <w:t>)</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6E0A97" w:rsidTr="009207B8">
        <w:trPr>
          <w:jc w:val="center"/>
        </w:trPr>
        <w:tc>
          <w:tcPr>
            <w:tcW w:w="7007" w:type="dxa"/>
          </w:tcPr>
          <w:p w:rsidR="006E0A97" w:rsidRDefault="006E0A97" w:rsidP="00282496">
            <w:pPr>
              <w:pStyle w:val="rvps14"/>
              <w:spacing w:before="150" w:beforeAutospacing="0" w:after="150" w:afterAutospacing="0"/>
              <w:rPr>
                <w:color w:val="333333"/>
              </w:rPr>
            </w:pPr>
            <w:r>
              <w:rPr>
                <w:color w:val="333333"/>
              </w:rPr>
              <w:t xml:space="preserve">12. </w:t>
            </w:r>
            <w:r w:rsidR="008608C4">
              <w:rPr>
                <w:color w:val="333333"/>
                <w:shd w:val="clear" w:color="auto" w:fill="FFFFFF"/>
              </w:rPr>
              <w:t>Комунальні некомерційні підприємства</w:t>
            </w:r>
            <w:r w:rsidR="003C0A25">
              <w:rPr>
                <w:color w:val="333333"/>
                <w:shd w:val="clear" w:color="auto" w:fill="FFFFFF"/>
              </w:rPr>
              <w:t xml:space="preserve"> Петрівської сільської ради</w:t>
            </w:r>
            <w:r w:rsidR="00072A37">
              <w:rPr>
                <w:color w:val="333333"/>
                <w:shd w:val="clear" w:color="auto" w:fill="FFFFFF"/>
              </w:rPr>
              <w:t>,</w:t>
            </w:r>
            <w:r w:rsidR="003C0A25">
              <w:rPr>
                <w:color w:val="333333"/>
                <w:shd w:val="clear" w:color="auto" w:fill="FFFFFF"/>
              </w:rPr>
              <w:t xml:space="preserve"> які надають медичні послуги </w:t>
            </w:r>
            <w:r w:rsidR="00282496">
              <w:rPr>
                <w:color w:val="333333"/>
                <w:shd w:val="clear" w:color="auto" w:fill="FFFFFF"/>
              </w:rPr>
              <w:t xml:space="preserve">та утримуються </w:t>
            </w:r>
            <w:r w:rsidR="00072A37">
              <w:rPr>
                <w:color w:val="333333"/>
                <w:shd w:val="clear" w:color="auto" w:fill="FFFFFF"/>
              </w:rPr>
              <w:t xml:space="preserve"> </w:t>
            </w:r>
            <w:r w:rsidR="00282496">
              <w:rPr>
                <w:color w:val="333333"/>
                <w:shd w:val="clear" w:color="auto" w:fill="FFFFFF"/>
              </w:rPr>
              <w:t xml:space="preserve">повністю або частково </w:t>
            </w:r>
            <w:r w:rsidR="00282496">
              <w:rPr>
                <w:color w:val="333333"/>
              </w:rPr>
              <w:t xml:space="preserve">за рахунок </w:t>
            </w:r>
            <w:r w:rsidR="00282496" w:rsidRPr="00C11F96">
              <w:rPr>
                <w:color w:val="000000"/>
              </w:rPr>
              <w:t xml:space="preserve">бюджету </w:t>
            </w:r>
            <w:r w:rsidR="00282496">
              <w:rPr>
                <w:color w:val="000000"/>
              </w:rPr>
              <w:t>Петрівської сільської територіальної громади</w:t>
            </w:r>
          </w:p>
        </w:tc>
        <w:tc>
          <w:tcPr>
            <w:tcW w:w="2468" w:type="dxa"/>
          </w:tcPr>
          <w:p w:rsidR="006E0A97" w:rsidRDefault="006E0A97">
            <w:pPr>
              <w:pStyle w:val="rvps12"/>
              <w:spacing w:before="150" w:beforeAutospacing="0" w:after="150" w:afterAutospacing="0"/>
              <w:jc w:val="center"/>
              <w:rPr>
                <w:color w:val="333333"/>
              </w:rPr>
            </w:pPr>
            <w:r>
              <w:rPr>
                <w:color w:val="333333"/>
              </w:rPr>
              <w:t>0,001</w:t>
            </w:r>
          </w:p>
        </w:tc>
      </w:tr>
      <w:tr w:rsidR="000E14A2" w:rsidTr="009207B8">
        <w:trPr>
          <w:jc w:val="center"/>
        </w:trPr>
        <w:tc>
          <w:tcPr>
            <w:tcW w:w="7007" w:type="dxa"/>
          </w:tcPr>
          <w:p w:rsidR="000E14A2" w:rsidRDefault="00F27E52" w:rsidP="008608C4">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8608C4">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 xml:space="preserve">. Музеї, крім тих, які повністю фінансуються за рахунок </w:t>
            </w:r>
            <w:r w:rsidR="008608C4">
              <w:rPr>
                <w:rFonts w:ascii="Times New Roman" w:eastAsia="Times New Roman" w:hAnsi="Times New Roman" w:cs="Times New Roman"/>
                <w:color w:val="000000"/>
                <w:sz w:val="24"/>
                <w:szCs w:val="24"/>
              </w:rPr>
              <w:t xml:space="preserve">державного </w:t>
            </w:r>
            <w:r w:rsidR="00D217A6">
              <w:rPr>
                <w:rFonts w:ascii="Times New Roman" w:eastAsia="Times New Roman" w:hAnsi="Times New Roman" w:cs="Times New Roman"/>
                <w:color w:val="000000"/>
                <w:sz w:val="24"/>
                <w:szCs w:val="24"/>
              </w:rPr>
              <w:t xml:space="preserve">бюджету </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0E14A2" w:rsidTr="009207B8">
        <w:trPr>
          <w:jc w:val="center"/>
        </w:trPr>
        <w:tc>
          <w:tcPr>
            <w:tcW w:w="7007" w:type="dxa"/>
          </w:tcPr>
          <w:p w:rsidR="000E14A2" w:rsidRDefault="00F27E52" w:rsidP="00282496">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282496">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 xml:space="preserve">. </w:t>
            </w:r>
            <w:r w:rsidR="003830FB">
              <w:rPr>
                <w:rFonts w:ascii="Times New Roman" w:eastAsia="Times New Roman" w:hAnsi="Times New Roman" w:cs="Times New Roman"/>
                <w:color w:val="000000"/>
                <w:sz w:val="24"/>
                <w:szCs w:val="24"/>
              </w:rPr>
              <w:t>Ш</w:t>
            </w:r>
            <w:r>
              <w:rPr>
                <w:rFonts w:ascii="Times New Roman" w:eastAsia="Times New Roman" w:hAnsi="Times New Roman" w:cs="Times New Roman"/>
                <w:color w:val="000000"/>
                <w:sz w:val="24"/>
                <w:szCs w:val="24"/>
              </w:rPr>
              <w:t xml:space="preserve">коли вищої спортивної майстерності, центри олімпійської підготовки, центри студентського спорту закладів вищої освіти, центри фізичної культури і спорту осіб з інвалідністю, що є неприбутковими організаціями, внесеними до Реєстру неприбуткових установ та організацій, </w:t>
            </w:r>
            <w:r w:rsidR="00282496" w:rsidRPr="00282496">
              <w:rPr>
                <w:rFonts w:ascii="Times New Roman" w:eastAsia="Times New Roman" w:hAnsi="Times New Roman" w:cs="Times New Roman"/>
                <w:color w:val="000000"/>
                <w:sz w:val="24"/>
                <w:szCs w:val="24"/>
              </w:rPr>
              <w:t>- виключно для проведення спортивних заходів або надання послуг у сфері фізичної культури і спорту</w:t>
            </w:r>
          </w:p>
        </w:tc>
        <w:tc>
          <w:tcPr>
            <w:tcW w:w="2468" w:type="dxa"/>
          </w:tcPr>
          <w:p w:rsidR="000E14A2" w:rsidRDefault="00D217A6">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0E14A2" w:rsidTr="009207B8">
        <w:trPr>
          <w:jc w:val="center"/>
        </w:trPr>
        <w:tc>
          <w:tcPr>
            <w:tcW w:w="7007" w:type="dxa"/>
          </w:tcPr>
          <w:p w:rsidR="000E14A2" w:rsidRDefault="00F27E52" w:rsidP="00C172B8">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C172B8">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Державні спеціалізовані підприємства, установи та заклади соціального обслуговування, що надають соціальні послуги відповідно до </w:t>
            </w:r>
            <w:r w:rsidRPr="001B40B7">
              <w:rPr>
                <w:rFonts w:ascii="Times New Roman" w:eastAsia="Times New Roman" w:hAnsi="Times New Roman" w:cs="Times New Roman"/>
                <w:color w:val="000000"/>
                <w:sz w:val="24"/>
                <w:szCs w:val="24"/>
              </w:rPr>
              <w:t>Закону України</w:t>
            </w:r>
            <w:r w:rsidR="00C11F96">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Про соціальні послуги</w:t>
            </w:r>
            <w:r w:rsidR="00C11F96">
              <w:rPr>
                <w:rFonts w:ascii="Times New Roman" w:eastAsia="Times New Roman" w:hAnsi="Times New Roman" w:cs="Times New Roman"/>
                <w:color w:val="000000"/>
                <w:sz w:val="24"/>
                <w:szCs w:val="24"/>
              </w:rPr>
              <w:t>»</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096354" w:rsidTr="009207B8">
        <w:trPr>
          <w:jc w:val="center"/>
        </w:trPr>
        <w:tc>
          <w:tcPr>
            <w:tcW w:w="7007" w:type="dxa"/>
          </w:tcPr>
          <w:p w:rsidR="00096354" w:rsidRDefault="00096354">
            <w:pPr>
              <w:pStyle w:val="rvps14"/>
              <w:spacing w:before="150" w:beforeAutospacing="0" w:after="150" w:afterAutospacing="0"/>
              <w:rPr>
                <w:color w:val="333333"/>
              </w:rPr>
            </w:pPr>
            <w:r>
              <w:rPr>
                <w:color w:val="333333"/>
              </w:rPr>
              <w:t>16. Заклади освіти, засновані на будь-якій формі власності, суб’єкти підприємницької діяльності, що мають ліцензію на надання освітніх послуг у сфері дошкільної освіти, на площі, що використовується для надання ліцензійних послуг</w:t>
            </w:r>
          </w:p>
        </w:tc>
        <w:tc>
          <w:tcPr>
            <w:tcW w:w="2468" w:type="dxa"/>
          </w:tcPr>
          <w:p w:rsidR="00096354" w:rsidRDefault="00096354">
            <w:pPr>
              <w:pStyle w:val="rvps12"/>
              <w:spacing w:before="150" w:beforeAutospacing="0" w:after="150" w:afterAutospacing="0"/>
              <w:jc w:val="center"/>
              <w:rPr>
                <w:color w:val="333333"/>
              </w:rPr>
            </w:pPr>
            <w:r>
              <w:rPr>
                <w:color w:val="333333"/>
              </w:rPr>
              <w:t>1</w:t>
            </w:r>
          </w:p>
        </w:tc>
      </w:tr>
      <w:tr w:rsidR="00096354" w:rsidTr="009207B8">
        <w:trPr>
          <w:jc w:val="center"/>
        </w:trPr>
        <w:tc>
          <w:tcPr>
            <w:tcW w:w="7007" w:type="dxa"/>
          </w:tcPr>
          <w:p w:rsidR="00096354" w:rsidRDefault="00096354">
            <w:pPr>
              <w:pStyle w:val="rvps14"/>
              <w:spacing w:before="150" w:beforeAutospacing="0" w:after="150" w:afterAutospacing="0"/>
              <w:rPr>
                <w:color w:val="333333"/>
              </w:rPr>
            </w:pPr>
            <w:r>
              <w:rPr>
                <w:color w:val="333333"/>
              </w:rPr>
              <w:t>17. Народні депутати України або депутати місцевих рад для розміщення громадської приймальні, у тому числі коли договір оренди від імені депутата укладається громадською організацією в інтересах депутата і для розміщення його депутатської приймальні (крім випадків, коли в інтересах народного депутата України діє уповноважений орган Верховної Ради України, в такому разі застосовується </w:t>
            </w:r>
            <w:hyperlink r:id="rId32" w:anchor="n49" w:history="1">
              <w:r>
                <w:rPr>
                  <w:rStyle w:val="af2"/>
                  <w:color w:val="006600"/>
                </w:rPr>
                <w:t>пункт 13</w:t>
              </w:r>
            </w:hyperlink>
            <w:r>
              <w:rPr>
                <w:color w:val="333333"/>
              </w:rPr>
              <w:t> цієї Методики):</w:t>
            </w:r>
          </w:p>
        </w:tc>
        <w:tc>
          <w:tcPr>
            <w:tcW w:w="2468" w:type="dxa"/>
          </w:tcPr>
          <w:p w:rsidR="00096354" w:rsidRDefault="00096354">
            <w:pPr>
              <w:pStyle w:val="rvps12"/>
              <w:spacing w:before="150" w:beforeAutospacing="0" w:after="150" w:afterAutospacing="0"/>
              <w:jc w:val="center"/>
              <w:rPr>
                <w:color w:val="333333"/>
              </w:rPr>
            </w:pPr>
          </w:p>
        </w:tc>
      </w:tr>
      <w:tr w:rsidR="00096354" w:rsidTr="009207B8">
        <w:trPr>
          <w:jc w:val="center"/>
        </w:trPr>
        <w:tc>
          <w:tcPr>
            <w:tcW w:w="7007" w:type="dxa"/>
          </w:tcPr>
          <w:p w:rsidR="00096354" w:rsidRDefault="00096354">
            <w:pPr>
              <w:pStyle w:val="rvps14"/>
              <w:spacing w:before="150" w:beforeAutospacing="0" w:after="150" w:afterAutospacing="0"/>
              <w:rPr>
                <w:color w:val="333333"/>
              </w:rPr>
            </w:pPr>
            <w:r>
              <w:rPr>
                <w:color w:val="333333"/>
              </w:rPr>
              <w:t>на площі не більш як 50 кв. метрів</w:t>
            </w:r>
          </w:p>
        </w:tc>
        <w:tc>
          <w:tcPr>
            <w:tcW w:w="2468" w:type="dxa"/>
          </w:tcPr>
          <w:p w:rsidR="00096354" w:rsidRDefault="00096354">
            <w:pPr>
              <w:pStyle w:val="rvps12"/>
              <w:spacing w:before="150" w:beforeAutospacing="0" w:after="150" w:afterAutospacing="0"/>
              <w:jc w:val="center"/>
              <w:rPr>
                <w:color w:val="333333"/>
              </w:rPr>
            </w:pPr>
            <w:r>
              <w:rPr>
                <w:color w:val="333333"/>
              </w:rPr>
              <w:t>3</w:t>
            </w:r>
          </w:p>
        </w:tc>
      </w:tr>
      <w:tr w:rsidR="00096354" w:rsidTr="009207B8">
        <w:trPr>
          <w:jc w:val="center"/>
        </w:trPr>
        <w:tc>
          <w:tcPr>
            <w:tcW w:w="7007" w:type="dxa"/>
          </w:tcPr>
          <w:p w:rsidR="00096354" w:rsidRDefault="00096354">
            <w:pPr>
              <w:pStyle w:val="rvps14"/>
              <w:spacing w:before="150" w:beforeAutospacing="0" w:after="150" w:afterAutospacing="0"/>
              <w:rPr>
                <w:color w:val="333333"/>
              </w:rPr>
            </w:pPr>
            <w:r>
              <w:rPr>
                <w:color w:val="333333"/>
              </w:rPr>
              <w:t>на частині площі, що перевищує 50 кв. метрів</w:t>
            </w:r>
          </w:p>
        </w:tc>
        <w:tc>
          <w:tcPr>
            <w:tcW w:w="2468" w:type="dxa"/>
          </w:tcPr>
          <w:p w:rsidR="00096354" w:rsidRDefault="00096354">
            <w:pPr>
              <w:pStyle w:val="rvps12"/>
              <w:spacing w:before="150" w:beforeAutospacing="0" w:after="150" w:afterAutospacing="0"/>
              <w:jc w:val="center"/>
              <w:rPr>
                <w:color w:val="333333"/>
              </w:rPr>
            </w:pPr>
            <w:r>
              <w:rPr>
                <w:color w:val="333333"/>
              </w:rPr>
              <w:t>7</w:t>
            </w:r>
          </w:p>
        </w:tc>
      </w:tr>
      <w:tr w:rsidR="000E14A2" w:rsidTr="009207B8">
        <w:trPr>
          <w:jc w:val="center"/>
        </w:trPr>
        <w:tc>
          <w:tcPr>
            <w:tcW w:w="7007" w:type="dxa"/>
          </w:tcPr>
          <w:p w:rsidR="000E14A2" w:rsidRDefault="001272D6" w:rsidP="00096354">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096354">
              <w:rPr>
                <w:rFonts w:ascii="Times New Roman" w:eastAsia="Times New Roman" w:hAnsi="Times New Roman" w:cs="Times New Roman"/>
                <w:color w:val="000000"/>
                <w:sz w:val="24"/>
                <w:szCs w:val="24"/>
              </w:rPr>
              <w:t>8</w:t>
            </w:r>
            <w:r w:rsidR="00F27E52">
              <w:rPr>
                <w:rFonts w:ascii="Times New Roman" w:eastAsia="Times New Roman" w:hAnsi="Times New Roman" w:cs="Times New Roman"/>
                <w:color w:val="000000"/>
                <w:sz w:val="24"/>
                <w:szCs w:val="24"/>
              </w:rPr>
              <w:t>. Реабілітаційні установи для осіб з інвалідністю та дітей з інвалідністю для розміщення таких реабілітаційних установ:</w:t>
            </w:r>
          </w:p>
        </w:tc>
        <w:tc>
          <w:tcPr>
            <w:tcW w:w="2468" w:type="dxa"/>
          </w:tcPr>
          <w:p w:rsidR="000E14A2"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Tr="009207B8">
        <w:trPr>
          <w:jc w:val="center"/>
        </w:trPr>
        <w:tc>
          <w:tcPr>
            <w:tcW w:w="7007" w:type="dxa"/>
          </w:tcPr>
          <w:p w:rsidR="000E14A2"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площі не більш як 100 кв. метрів</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0E14A2" w:rsidTr="009207B8">
        <w:trPr>
          <w:jc w:val="center"/>
        </w:trPr>
        <w:tc>
          <w:tcPr>
            <w:tcW w:w="7007" w:type="dxa"/>
          </w:tcPr>
          <w:p w:rsidR="000E14A2"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на частині площі, що перевищує 100 кв. метрів</w:t>
            </w:r>
          </w:p>
        </w:tc>
        <w:tc>
          <w:tcPr>
            <w:tcW w:w="2468"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bl>
    <w:tbl>
      <w:tblPr>
        <w:tblStyle w:val="ad"/>
        <w:tblW w:w="9361" w:type="dxa"/>
        <w:tblInd w:w="5" w:type="dxa"/>
        <w:tblLayout w:type="fixed"/>
        <w:tblLook w:val="0400" w:firstRow="0" w:lastRow="0" w:firstColumn="0" w:lastColumn="0" w:noHBand="0" w:noVBand="1"/>
      </w:tblPr>
      <w:tblGrid>
        <w:gridCol w:w="4355"/>
        <w:gridCol w:w="5006"/>
      </w:tblGrid>
      <w:tr w:rsidR="000E14A2" w:rsidTr="009207B8">
        <w:tc>
          <w:tcPr>
            <w:tcW w:w="4355" w:type="dxa"/>
          </w:tcPr>
          <w:p w:rsidR="000E14A2" w:rsidRDefault="000E14A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bookmarkStart w:id="27" w:name="2bn6wsx" w:colFirst="0" w:colLast="0"/>
            <w:bookmarkStart w:id="28" w:name="qsh70q" w:colFirst="0" w:colLast="0"/>
            <w:bookmarkEnd w:id="27"/>
            <w:bookmarkEnd w:id="28"/>
          </w:p>
        </w:tc>
        <w:tc>
          <w:tcPr>
            <w:tcW w:w="5006" w:type="dxa"/>
          </w:tcPr>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74D57" w:rsidRDefault="00C74D57">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p w:rsidR="00C45627" w:rsidRDefault="00C45627" w:rsidP="00C45627">
            <w:pPr>
              <w:pBdr>
                <w:top w:val="nil"/>
                <w:left w:val="nil"/>
                <w:bottom w:val="nil"/>
                <w:right w:val="nil"/>
                <w:between w:val="nil"/>
              </w:pBdr>
              <w:spacing w:before="158" w:after="158" w:line="240" w:lineRule="auto"/>
              <w:jc w:val="right"/>
              <w:rPr>
                <w:rFonts w:ascii="Times New Roman" w:eastAsia="Times New Roman" w:hAnsi="Times New Roman" w:cs="Times New Roman"/>
                <w:color w:val="000000"/>
                <w:sz w:val="24"/>
                <w:szCs w:val="24"/>
              </w:rPr>
            </w:pPr>
          </w:p>
          <w:p w:rsidR="000E14A2" w:rsidRDefault="00F27E52" w:rsidP="00C45627">
            <w:pPr>
              <w:pBdr>
                <w:top w:val="nil"/>
                <w:left w:val="nil"/>
                <w:bottom w:val="nil"/>
                <w:right w:val="nil"/>
                <w:between w:val="nil"/>
              </w:pBdr>
              <w:spacing w:before="158" w:after="158"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Додаток 2</w:t>
            </w:r>
            <w:r>
              <w:rPr>
                <w:rFonts w:ascii="Times New Roman" w:eastAsia="Times New Roman" w:hAnsi="Times New Roman" w:cs="Times New Roman"/>
                <w:color w:val="000000"/>
                <w:sz w:val="24"/>
                <w:szCs w:val="24"/>
              </w:rPr>
              <w:br/>
              <w:t>до Методики</w:t>
            </w:r>
          </w:p>
        </w:tc>
      </w:tr>
    </w:tbl>
    <w:p w:rsidR="000E14A2" w:rsidRDefault="00F27E52">
      <w:pPr>
        <w:pBdr>
          <w:top w:val="nil"/>
          <w:left w:val="nil"/>
          <w:bottom w:val="nil"/>
          <w:right w:val="nil"/>
          <w:between w:val="nil"/>
        </w:pBdr>
        <w:shd w:val="clear" w:color="auto" w:fill="FFFFFF"/>
        <w:spacing w:before="158" w:after="158" w:line="240" w:lineRule="auto"/>
        <w:ind w:left="475" w:right="475"/>
        <w:jc w:val="center"/>
        <w:rPr>
          <w:rFonts w:ascii="Times New Roman" w:eastAsia="Times New Roman" w:hAnsi="Times New Roman" w:cs="Times New Roman"/>
          <w:color w:val="333333"/>
          <w:sz w:val="25"/>
          <w:szCs w:val="25"/>
        </w:rPr>
      </w:pPr>
      <w:bookmarkStart w:id="29" w:name="3as4poj" w:colFirst="0" w:colLast="0"/>
      <w:bookmarkEnd w:id="29"/>
      <w:r>
        <w:rPr>
          <w:rFonts w:ascii="Times New Roman" w:eastAsia="Times New Roman" w:hAnsi="Times New Roman" w:cs="Times New Roman"/>
          <w:b/>
          <w:color w:val="333333"/>
          <w:sz w:val="28"/>
          <w:szCs w:val="28"/>
        </w:rPr>
        <w:t>ОРЕНДНІ</w:t>
      </w:r>
      <w:r>
        <w:rPr>
          <w:rFonts w:ascii="Times New Roman" w:eastAsia="Times New Roman" w:hAnsi="Times New Roman" w:cs="Times New Roman"/>
          <w:color w:val="333333"/>
          <w:sz w:val="25"/>
          <w:szCs w:val="25"/>
        </w:rPr>
        <w:br/>
      </w:r>
      <w:r>
        <w:rPr>
          <w:rFonts w:ascii="Times New Roman" w:eastAsia="Times New Roman" w:hAnsi="Times New Roman" w:cs="Times New Roman"/>
          <w:b/>
          <w:color w:val="333333"/>
          <w:sz w:val="28"/>
          <w:szCs w:val="28"/>
        </w:rPr>
        <w:t>ставки для договорів оренди, які продовжуються вперше</w:t>
      </w:r>
    </w:p>
    <w:tbl>
      <w:tblPr>
        <w:tblStyle w:val="ae"/>
        <w:tblW w:w="938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204"/>
        <w:gridCol w:w="2181"/>
      </w:tblGrid>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bookmarkStart w:id="30" w:name="1pxezwc" w:colFirst="0" w:colLast="0"/>
            <w:bookmarkEnd w:id="30"/>
            <w:r w:rsidRPr="00E64BCE">
              <w:rPr>
                <w:rFonts w:ascii="Times New Roman" w:eastAsia="Times New Roman" w:hAnsi="Times New Roman" w:cs="Times New Roman"/>
                <w:color w:val="000000"/>
                <w:sz w:val="24"/>
                <w:szCs w:val="24"/>
              </w:rPr>
              <w:t>Найменування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Орендна ставка, відсотків</w:t>
            </w:r>
          </w:p>
        </w:tc>
      </w:tr>
      <w:tr w:rsidR="000E14A2" w:rsidRPr="00E64BCE" w:rsidTr="009207B8">
        <w:tc>
          <w:tcPr>
            <w:tcW w:w="7204" w:type="dxa"/>
          </w:tcPr>
          <w:p w:rsidR="000E14A2" w:rsidRPr="00E64BCE" w:rsidRDefault="00F27E52" w:rsidP="00D217A6">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xml:space="preserve">1. Використання єдиних майнових комплексів </w:t>
            </w:r>
            <w:r w:rsidR="00D217A6" w:rsidRPr="00E64BCE">
              <w:rPr>
                <w:rFonts w:ascii="Times New Roman" w:eastAsia="Times New Roman" w:hAnsi="Times New Roman" w:cs="Times New Roman"/>
                <w:color w:val="000000"/>
                <w:sz w:val="24"/>
                <w:szCs w:val="24"/>
              </w:rPr>
              <w:t xml:space="preserve">комунальних </w:t>
            </w:r>
            <w:r w:rsidRPr="00E64BCE">
              <w:rPr>
                <w:rFonts w:ascii="Times New Roman" w:eastAsia="Times New Roman" w:hAnsi="Times New Roman" w:cs="Times New Roman"/>
                <w:color w:val="000000"/>
                <w:sz w:val="24"/>
                <w:szCs w:val="24"/>
              </w:rPr>
              <w:t>підприємств</w:t>
            </w:r>
            <w:r w:rsidR="00D217A6" w:rsidRPr="00E64BCE">
              <w:rPr>
                <w:rFonts w:ascii="Times New Roman" w:eastAsia="Times New Roman" w:hAnsi="Times New Roman" w:cs="Times New Roman"/>
                <w:color w:val="000000"/>
                <w:sz w:val="24"/>
                <w:szCs w:val="24"/>
              </w:rPr>
              <w:t xml:space="preserve"> </w:t>
            </w:r>
            <w:r w:rsidR="00EB6621" w:rsidRPr="00E64BCE">
              <w:rPr>
                <w:rFonts w:ascii="Times New Roman" w:eastAsia="Times New Roman" w:hAnsi="Times New Roman" w:cs="Times New Roman"/>
                <w:color w:val="000000"/>
                <w:sz w:val="24"/>
                <w:szCs w:val="24"/>
              </w:rPr>
              <w:t>Петрівської сільської територіальної громади</w:t>
            </w:r>
            <w:r w:rsidRPr="00E64BCE">
              <w:rPr>
                <w:rFonts w:ascii="Times New Roman" w:eastAsia="Times New Roman" w:hAnsi="Times New Roman" w:cs="Times New Roman"/>
                <w:color w:val="000000"/>
                <w:sz w:val="24"/>
                <w:szCs w:val="24"/>
              </w:rPr>
              <w:t>, їх відокремлених структурних підрозділів для:</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 тютюнової промисловості, лікеро-горілчаної та виноробної промисловості, радгоспів заводів, що виробляють виноробну продукцію</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25</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 виробництва електричного та електронного устаткування, деревини та виробів з деревини, меблів, організації концертно-видовищної діяльності та виставкової діяльності, ресторанів, морського, залізничного та автомобільного транспорту, торгівлі, випуску лотерейних білетів та проведення лотерей, кольорової металургії, нафтогазодобувної промисловості</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20</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xml:space="preserve">3) електроенергетики, газової, хімічної і нафтохімічної промисловості, чорної металургії, зв’язку, швейної та текстильної промисловості, ресторанного господарства (крім ресторанів), </w:t>
            </w:r>
            <w:r w:rsidRPr="00E64BCE">
              <w:rPr>
                <w:rFonts w:ascii="Times New Roman" w:eastAsia="Times New Roman" w:hAnsi="Times New Roman" w:cs="Times New Roman"/>
                <w:color w:val="000000"/>
                <w:sz w:val="24"/>
                <w:szCs w:val="24"/>
              </w:rPr>
              <w:lastRenderedPageBreak/>
              <w:t>виробництва транспортних засобів, устаткування та їх ремонту, виробництва машин та устаткування, призначеного для механічного, термічного оброблення матеріалів або здійснення інших операцій, виробництва гумових та пластмасових виробів, лісового господарства, рибного господарства, целюлозно-паперової промисловості, переробки відходів, видобування неенергетичних матеріалів, надання додаткових транспортних послуг та допоміжних операцій, паливної промисловості, побутового обслуговування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lastRenderedPageBreak/>
              <w:t>16</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lastRenderedPageBreak/>
              <w:t>4) сільського господарства, харчової промисловості (крім лікеро-горілчаної та виноробної промисловості), радгоспів заводів (крім тих, що виробляють виноробну продукцію), металообробки, освіти, науки та охорони здоров’я, легкої (крім швейної та текстильної) промисловості, виробництва будівельних матеріалів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12</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5) використання інших об’єктів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10</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 Використання нерухомого майна за цільовим призначенням:</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 розміщення казино, інших гральних закладів, гральних автоматів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100</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 розміщення пунктів продажу лотерейних білетів, пунктів обміну валюти</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45</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40</w:t>
            </w:r>
          </w:p>
        </w:tc>
      </w:tr>
      <w:tr w:rsidR="000E14A2" w:rsidRPr="00E64BCE" w:rsidTr="009207B8">
        <w:tc>
          <w:tcPr>
            <w:tcW w:w="7204" w:type="dxa"/>
          </w:tcPr>
          <w:p w:rsidR="000E14A2" w:rsidRPr="00E64BCE" w:rsidRDefault="00FC286C">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б</w:t>
            </w:r>
            <w:r w:rsidR="00F27E52" w:rsidRPr="00E64BCE">
              <w:rPr>
                <w:rFonts w:ascii="Times New Roman" w:eastAsia="Times New Roman" w:hAnsi="Times New Roman" w:cs="Times New Roman"/>
                <w:color w:val="000000"/>
                <w:sz w:val="24"/>
                <w:szCs w:val="24"/>
              </w:rPr>
              <w:t>анкоматів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ресторанів з нічним режимом роботи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xml:space="preserve">відділень банків, фінансових установ, ломбардів, бірж, брокерських, дилерських, маклерських, </w:t>
            </w:r>
            <w:proofErr w:type="spellStart"/>
            <w:r w:rsidRPr="00E64BCE">
              <w:rPr>
                <w:rFonts w:ascii="Times New Roman" w:eastAsia="Times New Roman" w:hAnsi="Times New Roman" w:cs="Times New Roman"/>
                <w:color w:val="000000"/>
                <w:sz w:val="24"/>
                <w:szCs w:val="24"/>
              </w:rPr>
              <w:t>рієлторських</w:t>
            </w:r>
            <w:proofErr w:type="spellEnd"/>
            <w:r w:rsidRPr="00E64BCE">
              <w:rPr>
                <w:rFonts w:ascii="Times New Roman" w:eastAsia="Times New Roman" w:hAnsi="Times New Roman" w:cs="Times New Roman"/>
                <w:color w:val="000000"/>
                <w:sz w:val="24"/>
                <w:szCs w:val="24"/>
              </w:rPr>
              <w:t xml:space="preserve"> контор (агентств нерухомості)</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торговельних об’єктів з продажу ювелірних виробів, виробів з дорогоцінних металів та дорогоцінного каміння, антикваріату, зброї</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4)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30</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виробників реклами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саун, турецьких лазень, соляріїв, кабінетів масажу</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торговельних об’єктів з продажу автомобілів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зовнішньої реклами на будівлях і спорудах</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5) організація концертів та іншої видовищно-розважальної діяльності</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25</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xml:space="preserve">6) розміщення суб’єктів господарювання, що провадять </w:t>
            </w:r>
            <w:proofErr w:type="spellStart"/>
            <w:r w:rsidRPr="00E64BCE">
              <w:rPr>
                <w:rFonts w:ascii="Times New Roman" w:eastAsia="Times New Roman" w:hAnsi="Times New Roman" w:cs="Times New Roman"/>
                <w:color w:val="000000"/>
                <w:sz w:val="24"/>
                <w:szCs w:val="24"/>
              </w:rPr>
              <w:t>туроператорську</w:t>
            </w:r>
            <w:proofErr w:type="spellEnd"/>
            <w:r w:rsidRPr="00E64BCE">
              <w:rPr>
                <w:rFonts w:ascii="Times New Roman" w:eastAsia="Times New Roman" w:hAnsi="Times New Roman" w:cs="Times New Roman"/>
                <w:color w:val="000000"/>
                <w:sz w:val="24"/>
                <w:szCs w:val="24"/>
              </w:rPr>
              <w:t xml:space="preserve"> та </w:t>
            </w:r>
            <w:proofErr w:type="spellStart"/>
            <w:r w:rsidRPr="00E64BCE">
              <w:rPr>
                <w:rFonts w:ascii="Times New Roman" w:eastAsia="Times New Roman" w:hAnsi="Times New Roman" w:cs="Times New Roman"/>
                <w:color w:val="000000"/>
                <w:sz w:val="24"/>
                <w:szCs w:val="24"/>
              </w:rPr>
              <w:t>турагентську</w:t>
            </w:r>
            <w:proofErr w:type="spellEnd"/>
            <w:r w:rsidRPr="00E64BCE">
              <w:rPr>
                <w:rFonts w:ascii="Times New Roman" w:eastAsia="Times New Roman" w:hAnsi="Times New Roman" w:cs="Times New Roman"/>
                <w:color w:val="000000"/>
                <w:sz w:val="24"/>
                <w:szCs w:val="24"/>
              </w:rPr>
              <w:t xml:space="preserve"> діяльність, готелів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22</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lastRenderedPageBreak/>
              <w:t>7)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20</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майстерень, що здійснюють технічне обслуговування та ремонт автомобілів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майстерень з ремонту ювелірних виробів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аптек у приміщеннях лікувально-профілактичних закладів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приватних закладів охорони здоров’я</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господарювання, що діють на основі приватної власності і провадять господарську діяльність з медичної практики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торговельних об’єктів з продажу окулярів, лінз, скелець</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редакцій засобів масової інформації:</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рекламного та еротичного характеру</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тих, що засновані в Україні міжнародними організаціями або за участю юридичних чи фізичних осіб інших держав, осіб без громадянства</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тих, де понад 50 відсотків загального обсягу випуску становлять матеріали іноземних засобів масової інформації</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тих, що засновані за участю суб’єктів господарювання, одним із видів діяльності яких є виробництво та постачання паперу, поліграфічного обладнання, технічних засобів мовлення</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8)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18</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турбаз, мотелів, кемпінгів, літніх будиночків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торговельних об’єктів з продажу непродовольчих товарів, алкогольних та тютюнових виробів*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xml:space="preserve">офісних приміщень (крім відділень банків, фінансових установ, ломбардів, бірж, брокерських, дилерських, маклерських, </w:t>
            </w:r>
            <w:proofErr w:type="spellStart"/>
            <w:r w:rsidRPr="00E64BCE">
              <w:rPr>
                <w:rFonts w:ascii="Times New Roman" w:eastAsia="Times New Roman" w:hAnsi="Times New Roman" w:cs="Times New Roman"/>
                <w:color w:val="000000"/>
                <w:sz w:val="24"/>
                <w:szCs w:val="24"/>
              </w:rPr>
              <w:t>рієлторських</w:t>
            </w:r>
            <w:proofErr w:type="spellEnd"/>
            <w:r w:rsidRPr="00E64BCE">
              <w:rPr>
                <w:rFonts w:ascii="Times New Roman" w:eastAsia="Times New Roman" w:hAnsi="Times New Roman" w:cs="Times New Roman"/>
                <w:color w:val="000000"/>
                <w:sz w:val="24"/>
                <w:szCs w:val="24"/>
              </w:rPr>
              <w:t xml:space="preserve"> контор (агентств нерухомості)</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господарювання, що надають послуги, пов’язані з переказом грошей</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господарювання, що провадять діяльність у сфері права, бухгалтерського обліку та оподаткування</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xml:space="preserve">антен, технічних засобів і антен операторів телекомунікацій, які надають послуги рухомого (мобільного) зв’язку, операторів та провайдерів телекомунікацій, які надають послуги доступу до </w:t>
            </w:r>
            <w:r w:rsidRPr="00E64BCE">
              <w:rPr>
                <w:rFonts w:ascii="Times New Roman" w:eastAsia="Times New Roman" w:hAnsi="Times New Roman" w:cs="Times New Roman"/>
                <w:color w:val="000000"/>
                <w:sz w:val="24"/>
                <w:szCs w:val="24"/>
              </w:rPr>
              <w:lastRenderedPageBreak/>
              <w:t>Інтернету</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lastRenderedPageBreak/>
              <w:t>9)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15</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ресторанів, кафе, барів, закусочних, буфетів, кафетеріїв, що здійснюють продаж товарів підакцизної групи*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ветеринарних лікарень (клінік), лабораторій ветеринарної медицини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господарювання, що провадять діяльність з організації шлюбних знайомств та весіль</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складів, крамниць-складів, магазинів-складів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приватних архівних установ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камер схову</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стоянок для автомобілів, паркінгів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господарювання, що провадять діяльність з вирощування квітів, грибів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10)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12</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господарювання, що провадять виробничу діяльність</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комп’ютерних клубів та інтернет-кафе</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аптек, ветеринарних аптек</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рибних господарств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шкіл, курсів з навчання водіїв автомобілів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господарювання, що здійснюють проектні, проектно-вишукувальні, проектно-конструкторські роботи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інформаційних агентств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виставок непродовольчих товарів без здійснення торгівлі</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кафе, барів, закусочних, кафетеріїв, їдалень, буфетів, які не здійснюють продаж товарів підакцизної групи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підприємницької діяльності, що надають освітні послуги погодинно (курси, тренінги, семінари тощо)</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торговельних об’єктів з продажу продовольчих товарів, крім товарів підакцизної групи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lastRenderedPageBreak/>
              <w:t>11)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10</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кінематографії, основною діяльністю яких є кіновиробництво або технічне забезпечення і обслуговування кіновиробництва за умови, що вони внесені до Державного реєстру виробників, розповсюджувачів і демонстраторів фільмів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редакцій засобів масової інформації</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приватних закладів освіти (суб’єктів підприємницької діяльності), які мають ліцензію на надання освітніх послуг у відповідній сфері (крім закладів освіти і суб’єктів підприємницької діяльності, визначених в абзаці четвертому підпункту 18 та абзаці третьому підпункту 20 цього пункту), на площі, що використовується для надання ліцензійних послуг</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rsidP="00FD3BD1">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12) організація та проведення науково-практичних, культурних, мистецьких, громадських, суспільних та політичних заходів на строк, що не перевищує  30 календарних днів протягом одного року щодо кожного орендаря, якщо балансоутримувачем є комунальне підприємство, установа, організація, що провадить діяльність з організації конгресів і торговельних виставок</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10</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13)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9</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закладів фізичної культури і спорту, крім тих, які наведені в абзацах восьмому та дев’ятому підпункту 18 цього пункту</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підприємницької діяльності, що надають освітні послуги без отримання ліцензії</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господарювання, що здійснюють побутове обслуговування населення</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громадських вбиралень</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виставок образотворчої та книжкової продукції, виробленої в Україні</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14) організація та проведення науково-практичних, культурних, мистецьких, громадських, суспільних та політичних заходів на строк, що не перевищує п’яти календарних днів протягом шести місяців, а також щодо майна, яке передається суб’єктам виборчого процесу з метою проведення публічних заходів (зборів, дебатів, дискусій) під час та на період виборчої кампанії</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8</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15) розміщення:</w:t>
            </w:r>
          </w:p>
        </w:tc>
        <w:tc>
          <w:tcPr>
            <w:tcW w:w="2181" w:type="dxa"/>
          </w:tcPr>
          <w:p w:rsidR="000E14A2" w:rsidRPr="00E64BCE" w:rsidRDefault="00EF4C4A">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об’єктів поштового зв’язку на площі, що використовується для надання послуг поштового зв’язку</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суб’єктів господарювання, що надають послуги з перевезення та доставки (вручення) поштових відправлень</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lastRenderedPageBreak/>
              <w:t>кінотеатрів, бібліотек, театрів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16)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5</w:t>
            </w:r>
          </w:p>
        </w:tc>
      </w:tr>
      <w:tr w:rsidR="000E14A2" w:rsidRPr="00E64BCE" w:rsidTr="009207B8">
        <w:tc>
          <w:tcPr>
            <w:tcW w:w="7204" w:type="dxa"/>
          </w:tcPr>
          <w:p w:rsidR="000E14A2" w:rsidRPr="00E64BCE" w:rsidRDefault="00F27E52" w:rsidP="00C914A1">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державних закладів охорони здоров’я, що частково фінансуються за рахунок державного бюджету</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торговельних об’єктів з продажу книг, газет і журналів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видавництв друкованих засобів масової інформації та видавничої продукції</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17) оренда майна:</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p>
        </w:tc>
      </w:tr>
      <w:tr w:rsidR="000E14A2" w:rsidRPr="00E64BCE" w:rsidTr="009207B8">
        <w:tc>
          <w:tcPr>
            <w:tcW w:w="7204" w:type="dxa"/>
          </w:tcPr>
          <w:p w:rsidR="00EF5E60" w:rsidRPr="00E64BCE" w:rsidRDefault="00EF5E60" w:rsidP="00EF5E60">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державними та комунальними (крім визначених у пункті 13 цієї Методики), підприємствами, установами, організаціями у сфері культури і мистецтв чи громадськими організаціями у сфері культури і мистецтв (у тому числі національними творчими спілками або їх членами під творчі майстерні)</w:t>
            </w:r>
          </w:p>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державними видавництвами і підприємствами книгорозповсюдження</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вітчизняними видавництвами та підприємствами книгорозповсюдження, що забезпечують підготовку, випуск та (або) розповсюдження не менш як 50 відсотків книжкової продукції державною мовою (за винятком видань рекламного та еротичного характеру)</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18) розміщення:</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rsidP="00C914A1">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xml:space="preserve">державних </w:t>
            </w:r>
            <w:r w:rsidR="00EF5E60" w:rsidRPr="00E64BCE">
              <w:rPr>
                <w:rFonts w:ascii="Times New Roman" w:eastAsia="Times New Roman" w:hAnsi="Times New Roman" w:cs="Times New Roman"/>
                <w:color w:val="000000"/>
                <w:sz w:val="24"/>
                <w:szCs w:val="24"/>
              </w:rPr>
              <w:t xml:space="preserve">та комунальних </w:t>
            </w:r>
            <w:r w:rsidRPr="00E64BCE">
              <w:rPr>
                <w:rFonts w:ascii="Times New Roman" w:eastAsia="Times New Roman" w:hAnsi="Times New Roman" w:cs="Times New Roman"/>
                <w:color w:val="000000"/>
                <w:sz w:val="24"/>
                <w:szCs w:val="24"/>
              </w:rPr>
              <w:t>закладів освіти, що частково фінансуються з державного бюджету</w:t>
            </w:r>
            <w:r w:rsidR="00EF5E60" w:rsidRPr="00E64BCE">
              <w:rPr>
                <w:rFonts w:ascii="Times New Roman" w:eastAsia="Times New Roman" w:hAnsi="Times New Roman" w:cs="Times New Roman"/>
                <w:color w:val="000000"/>
                <w:sz w:val="24"/>
                <w:szCs w:val="24"/>
              </w:rPr>
              <w:t xml:space="preserve"> та бюджету </w:t>
            </w:r>
            <w:r w:rsidR="00C914A1" w:rsidRPr="00E64BCE">
              <w:rPr>
                <w:rFonts w:ascii="Times New Roman" w:eastAsia="Times New Roman" w:hAnsi="Times New Roman" w:cs="Times New Roman"/>
                <w:color w:val="000000"/>
                <w:sz w:val="24"/>
                <w:szCs w:val="24"/>
              </w:rPr>
              <w:t>Петрівської сільської</w:t>
            </w:r>
            <w:r w:rsidR="00EF5E60" w:rsidRPr="00E64BCE">
              <w:rPr>
                <w:rFonts w:ascii="Times New Roman" w:eastAsia="Times New Roman" w:hAnsi="Times New Roman" w:cs="Times New Roman"/>
                <w:color w:val="000000"/>
                <w:sz w:val="24"/>
                <w:szCs w:val="24"/>
              </w:rPr>
              <w:t xml:space="preserve"> територіальної громади</w:t>
            </w:r>
            <w:r w:rsidRPr="00E64BCE">
              <w:rPr>
                <w:rFonts w:ascii="Times New Roman" w:eastAsia="Times New Roman" w:hAnsi="Times New Roman" w:cs="Times New Roman"/>
                <w:color w:val="000000"/>
                <w:sz w:val="24"/>
                <w:szCs w:val="24"/>
              </w:rPr>
              <w:t>, які мають ліцензію на провадження освітньої діяльності у відповідній сфері (крім закладів освіти і суб’єктів підприємницької діяльності, визначених в абзаці третьому підпункту 20 цього пункту)</w:t>
            </w:r>
          </w:p>
        </w:tc>
        <w:tc>
          <w:tcPr>
            <w:tcW w:w="2181" w:type="dxa"/>
          </w:tcPr>
          <w:p w:rsidR="000E14A2" w:rsidRPr="00E64BCE" w:rsidRDefault="00EF5E60">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4</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закладів освіти, що мають ліцензію на провадження освітньої діяльності та засновані неприбутковими громадськими об’єднаннями, які отримують державне фінансування з держав - членів ЄС</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приватних закладів загальної середньої освіти (суб’єктів підприємницької діяльності), які мають ліцензію на провадження освітньої діяльності у відповідній сфері, на площі, що використовується для надання ліцензійних послуг</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установ і організацій, діяльність яких частково фінансується за рахунок державного або місцевих бюджетів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музеїв, крім тих, які повністю фінансуються з державного та місцевого бюджетів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lastRenderedPageBreak/>
              <w:t>громадських об’єднань фізкультурно-спортивної спрямованості, що є неприбутковими організаціями, внесеними до Реєстру неприбуткових установ та організацій, утворених ними спортивних клубів (крім спортивних клубів, що займаються професійним спортом), дитячо-юнацьких спортивних шкіл, шкіл вищої спортивної майстерності, центрів олімпійської підготовки, центрів студентського спорту закладів вищої освіти, центрів фізичної культури і спорту осіб з інвалідністю, що є неприбутковими організаціями, внесеними до Реєстру неприбуткових установ та організацій, - виключно для проведення спортивних заходів або надання фізкультурно-спортивних послуг</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xml:space="preserve">державних та комунальних спортивних клубів, дитячо-юнацьких спортивних шкіл, шкіл вищої спортивної майстерності, центрів олімпійської підготовки, центрів студентського спорту закладів вищої освіти, фізкультурно-оздоровчих закладів, центрів фізичного здоров’я населення, центрів фізичної культури і спорту осіб з інвалідністю, а також баз олімпійської, </w:t>
            </w:r>
            <w:proofErr w:type="spellStart"/>
            <w:r w:rsidRPr="00E64BCE">
              <w:rPr>
                <w:rFonts w:ascii="Times New Roman" w:eastAsia="Times New Roman" w:hAnsi="Times New Roman" w:cs="Times New Roman"/>
                <w:color w:val="000000"/>
                <w:sz w:val="24"/>
                <w:szCs w:val="24"/>
              </w:rPr>
              <w:t>паралімпійської</w:t>
            </w:r>
            <w:proofErr w:type="spellEnd"/>
            <w:r w:rsidRPr="00E64BCE">
              <w:rPr>
                <w:rFonts w:ascii="Times New Roman" w:eastAsia="Times New Roman" w:hAnsi="Times New Roman" w:cs="Times New Roman"/>
                <w:color w:val="000000"/>
                <w:sz w:val="24"/>
                <w:szCs w:val="24"/>
              </w:rPr>
              <w:t xml:space="preserve"> та </w:t>
            </w:r>
            <w:proofErr w:type="spellStart"/>
            <w:r w:rsidRPr="00E64BCE">
              <w:rPr>
                <w:rFonts w:ascii="Times New Roman" w:eastAsia="Times New Roman" w:hAnsi="Times New Roman" w:cs="Times New Roman"/>
                <w:color w:val="000000"/>
                <w:sz w:val="24"/>
                <w:szCs w:val="24"/>
              </w:rPr>
              <w:t>дефлімпійської</w:t>
            </w:r>
            <w:proofErr w:type="spellEnd"/>
            <w:r w:rsidRPr="00E64BCE">
              <w:rPr>
                <w:rFonts w:ascii="Times New Roman" w:eastAsia="Times New Roman" w:hAnsi="Times New Roman" w:cs="Times New Roman"/>
                <w:color w:val="000000"/>
                <w:sz w:val="24"/>
                <w:szCs w:val="24"/>
              </w:rPr>
              <w:t xml:space="preserve"> підготовки (крім орендарів, зазначених у</w:t>
            </w:r>
            <w:hyperlink r:id="rId33" w:anchor="n49">
              <w:r w:rsidRPr="00E64BCE">
                <w:rPr>
                  <w:rFonts w:ascii="Times New Roman" w:eastAsia="Times New Roman" w:hAnsi="Times New Roman" w:cs="Times New Roman"/>
                  <w:color w:val="006600"/>
                  <w:sz w:val="24"/>
                  <w:szCs w:val="24"/>
                  <w:u w:val="single"/>
                </w:rPr>
                <w:t> пункті 13</w:t>
              </w:r>
            </w:hyperlink>
            <w:r w:rsidRPr="00E64BCE">
              <w:rPr>
                <w:rFonts w:ascii="Times New Roman" w:eastAsia="Times New Roman" w:hAnsi="Times New Roman" w:cs="Times New Roman"/>
                <w:color w:val="000000"/>
                <w:sz w:val="24"/>
                <w:szCs w:val="24"/>
              </w:rPr>
              <w:t> цієї Методики)</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казенних підприємств, що утворилися у результаті реорганізації державних закладів охорони здоров’я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дипломатичних представництв, консульських установ іноземних держав, представництв міжнародних організацій в Україні (крім договорів, орендна плата за якими врегульована міжнародними договорами України, згода на обов’язковість яких надана Верховною Радою України)</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19)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державних архівних установ, що частково фінансуються з державного бюджету, та комунальних архівних установ, що частково фінансуються з місцевого бюджету</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організацій, що надають послуги з нагляду за особами з психічними, інтелектуальними чи сенсорними порушеннями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20) розміщення: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надавачів соціальних послуг (державної та комунальної власності)</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закладів освіти, заснованих на будь-якій формі власності, суб’єктів підприємницької діяльності, що мають ліцензію на надання освітніх послуг у сфері дошкільної освіти, на площі, що використовується для надання ліцензійних послуг</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закладів соціального захисту для бездомних громадян, безпритульних дітей та установ, призначених для тимчасового або постійного перебування громадян похилого віку та осіб з інвалідністю</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lastRenderedPageBreak/>
              <w:t>закладів соціального обслуговування для сімей, дітей та молоді, що утримуються за рахунок місцевого бюджету, зокрема:</w:t>
            </w:r>
          </w:p>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центрів соціально-психологічної реабілітації дітей</w:t>
            </w:r>
          </w:p>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соціальних гуртожитків для дітей-сиріт та дітей, позбавлених батьківського піклування</w:t>
            </w:r>
          </w:p>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соціальних центрів матері та дитини</w:t>
            </w:r>
          </w:p>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центрів соціально-психологічної допомоги</w:t>
            </w:r>
          </w:p>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центрів реабілітації дітей та молоді з функціональними обмеженнями</w:t>
            </w:r>
          </w:p>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 центрів для ВІЛ-інфікованих дітей та молоді</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21) розміщення уповноважених Національним банком у встановленому законодавством порядку банків, в яких держава володіє часткою статутного капіталу в розмірі понад 75 відсотків, які орендують майно, що було закріплене на праві господарського відання за Національним банком і передане до сфери управління інших державних органів або у комунальну власність або закріплене на праві господарського відання за Національним банком, з цільовим функціональним призначенням для зберігання запасів готівки Національного банку та проведення технологічних процесів щодо забезпечення готівкового обігу</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0,01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22) розміщення Товариства Червоного Хреста України та його місцевих організацій</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0,01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23) оренда особами з інвалідністю з метою використання під гаражі для спеціальних засобів пересування</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0,01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24) оренда юридичними та фізичними особами для облаштування у закладах охорони здоров’я кімнат відпочинку (сімейних кімнат) для перебування в них на безоплатній основі осіб, які перебувають на лікуванні у цьому закладі, та членів їх сімей (під час лікування таких осіб)</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0,01</w:t>
            </w:r>
          </w:p>
        </w:tc>
      </w:tr>
      <w:tr w:rsidR="000E14A2" w:rsidRPr="00E64BCE" w:rsidTr="009207B8">
        <w:tc>
          <w:tcPr>
            <w:tcW w:w="7204" w:type="dxa"/>
          </w:tcPr>
          <w:p w:rsidR="000E14A2" w:rsidRPr="00E64BCE" w:rsidRDefault="00F27E52" w:rsidP="003369A8">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w:t>
            </w:r>
            <w:r w:rsidR="003369A8">
              <w:rPr>
                <w:rFonts w:ascii="Times New Roman" w:eastAsia="Times New Roman" w:hAnsi="Times New Roman" w:cs="Times New Roman"/>
                <w:color w:val="000000"/>
                <w:sz w:val="24"/>
                <w:szCs w:val="24"/>
              </w:rPr>
              <w:t>5</w:t>
            </w:r>
            <w:r w:rsidRPr="00E64BCE">
              <w:rPr>
                <w:rFonts w:ascii="Times New Roman" w:eastAsia="Times New Roman" w:hAnsi="Times New Roman" w:cs="Times New Roman"/>
                <w:color w:val="000000"/>
                <w:sz w:val="24"/>
                <w:szCs w:val="24"/>
              </w:rPr>
              <w:t>) розміщення транспортних підприємств з:</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перевезення пасажирів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15</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перевезення вантажів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18</w:t>
            </w:r>
          </w:p>
        </w:tc>
      </w:tr>
      <w:tr w:rsidR="000E14A2" w:rsidRPr="00E64BCE" w:rsidTr="009207B8">
        <w:tc>
          <w:tcPr>
            <w:tcW w:w="7204" w:type="dxa"/>
          </w:tcPr>
          <w:p w:rsidR="000E14A2" w:rsidRPr="00E64BCE" w:rsidRDefault="00F27E52" w:rsidP="003369A8">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w:t>
            </w:r>
            <w:r w:rsidR="003369A8">
              <w:rPr>
                <w:rFonts w:ascii="Times New Roman" w:eastAsia="Times New Roman" w:hAnsi="Times New Roman" w:cs="Times New Roman"/>
                <w:color w:val="000000"/>
                <w:sz w:val="24"/>
                <w:szCs w:val="24"/>
              </w:rPr>
              <w:t>6</w:t>
            </w:r>
            <w:r w:rsidRPr="00E64BCE">
              <w:rPr>
                <w:rFonts w:ascii="Times New Roman" w:eastAsia="Times New Roman" w:hAnsi="Times New Roman" w:cs="Times New Roman"/>
                <w:color w:val="000000"/>
                <w:sz w:val="24"/>
                <w:szCs w:val="24"/>
              </w:rPr>
              <w:t>) розміщення творчих спілок, творчих майстерень, громадських об’єднань, благодійних організацій та релігійних організацій для забезпечення проведення релігійних обрядів та церемоній на площі, що не використовується для провадження підприємницької діяльності:</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 площі не більш як 50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4</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 частині площі, що перевищує 50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7</w:t>
            </w:r>
          </w:p>
        </w:tc>
      </w:tr>
      <w:tr w:rsidR="000E14A2" w:rsidRPr="00E64BCE" w:rsidTr="009207B8">
        <w:tc>
          <w:tcPr>
            <w:tcW w:w="7204" w:type="dxa"/>
          </w:tcPr>
          <w:p w:rsidR="000E14A2" w:rsidRPr="00E64BCE" w:rsidRDefault="00F27E52" w:rsidP="003369A8">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lastRenderedPageBreak/>
              <w:t>2</w:t>
            </w:r>
            <w:r w:rsidR="003369A8">
              <w:rPr>
                <w:rFonts w:ascii="Times New Roman" w:eastAsia="Times New Roman" w:hAnsi="Times New Roman" w:cs="Times New Roman"/>
                <w:color w:val="000000"/>
                <w:sz w:val="24"/>
                <w:szCs w:val="24"/>
              </w:rPr>
              <w:t>7</w:t>
            </w:r>
            <w:r w:rsidRPr="00E64BCE">
              <w:rPr>
                <w:rFonts w:ascii="Times New Roman" w:eastAsia="Times New Roman" w:hAnsi="Times New Roman" w:cs="Times New Roman"/>
                <w:color w:val="000000"/>
                <w:sz w:val="24"/>
                <w:szCs w:val="24"/>
              </w:rPr>
              <w:t>) розміщення громадської приймальні народного депутата України, у тому числі коли договір оренди від імені депутата укладається громадською організацією в інтересах депутата і для розміщення його депутатської приймальні (крім випадків, коли в інтересах народного депутата України діє уповноважений орган Верховної Ради України, в такому разі застосовується</w:t>
            </w:r>
            <w:hyperlink r:id="rId34" w:anchor="n49">
              <w:r w:rsidRPr="00E64BCE">
                <w:rPr>
                  <w:rFonts w:ascii="Times New Roman" w:eastAsia="Times New Roman" w:hAnsi="Times New Roman" w:cs="Times New Roman"/>
                  <w:color w:val="006600"/>
                  <w:sz w:val="24"/>
                  <w:szCs w:val="24"/>
                  <w:u w:val="single"/>
                </w:rPr>
                <w:t> пункт 13</w:t>
              </w:r>
            </w:hyperlink>
            <w:r w:rsidRPr="00E64BCE">
              <w:rPr>
                <w:rFonts w:ascii="Times New Roman" w:eastAsia="Times New Roman" w:hAnsi="Times New Roman" w:cs="Times New Roman"/>
                <w:color w:val="000000"/>
                <w:sz w:val="24"/>
                <w:szCs w:val="24"/>
              </w:rPr>
              <w:t> цієї Методики):</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 площі не більш як 50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 частині площі, що перевищує 50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7</w:t>
            </w:r>
          </w:p>
        </w:tc>
      </w:tr>
      <w:tr w:rsidR="000E14A2" w:rsidRPr="00E64BCE" w:rsidTr="009207B8">
        <w:tc>
          <w:tcPr>
            <w:tcW w:w="7204" w:type="dxa"/>
          </w:tcPr>
          <w:p w:rsidR="000E14A2" w:rsidRPr="00E64BCE" w:rsidRDefault="00F27E52" w:rsidP="003369A8">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w:t>
            </w:r>
            <w:r w:rsidR="003369A8">
              <w:rPr>
                <w:rFonts w:ascii="Times New Roman" w:eastAsia="Times New Roman" w:hAnsi="Times New Roman" w:cs="Times New Roman"/>
                <w:color w:val="000000"/>
                <w:sz w:val="24"/>
                <w:szCs w:val="24"/>
              </w:rPr>
              <w:t>8</w:t>
            </w:r>
            <w:r w:rsidRPr="00E64BCE">
              <w:rPr>
                <w:rFonts w:ascii="Times New Roman" w:eastAsia="Times New Roman" w:hAnsi="Times New Roman" w:cs="Times New Roman"/>
                <w:color w:val="000000"/>
                <w:sz w:val="24"/>
                <w:szCs w:val="24"/>
              </w:rPr>
              <w:t>) розміщення громадських об’єднань осіб з інвалідністю на площі, що не використовується для провадження підприємницької діяльності:</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 площі не більш як 100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 частині площі, що перевищує 100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p>
        </w:tc>
      </w:tr>
      <w:tr w:rsidR="000E14A2" w:rsidRPr="00E64BCE" w:rsidTr="009207B8">
        <w:tc>
          <w:tcPr>
            <w:tcW w:w="7204" w:type="dxa"/>
          </w:tcPr>
          <w:p w:rsidR="000E14A2" w:rsidRPr="00E64BCE" w:rsidRDefault="003369A8">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r w:rsidR="00F27E52" w:rsidRPr="00E64BCE">
              <w:rPr>
                <w:rFonts w:ascii="Times New Roman" w:eastAsia="Times New Roman" w:hAnsi="Times New Roman" w:cs="Times New Roman"/>
                <w:color w:val="000000"/>
                <w:sz w:val="24"/>
                <w:szCs w:val="24"/>
              </w:rPr>
              <w:t>) оренда громадськими організаціями ветеранів для розміщення реабілітаційних установ для ветеранів: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 площі не більш як 100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 частині площі, що перевищує 100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p>
        </w:tc>
      </w:tr>
      <w:tr w:rsidR="000E14A2" w:rsidRPr="00E64BCE" w:rsidTr="009207B8">
        <w:tc>
          <w:tcPr>
            <w:tcW w:w="7204" w:type="dxa"/>
          </w:tcPr>
          <w:p w:rsidR="000E14A2" w:rsidRPr="00E64BCE" w:rsidRDefault="00F27E52" w:rsidP="003369A8">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r w:rsidR="003369A8">
              <w:rPr>
                <w:rFonts w:ascii="Times New Roman" w:eastAsia="Times New Roman" w:hAnsi="Times New Roman" w:cs="Times New Roman"/>
                <w:color w:val="000000"/>
                <w:sz w:val="24"/>
                <w:szCs w:val="24"/>
              </w:rPr>
              <w:t>0</w:t>
            </w:r>
            <w:r w:rsidRPr="00E64BCE">
              <w:rPr>
                <w:rFonts w:ascii="Times New Roman" w:eastAsia="Times New Roman" w:hAnsi="Times New Roman" w:cs="Times New Roman"/>
                <w:color w:val="000000"/>
                <w:sz w:val="24"/>
                <w:szCs w:val="24"/>
              </w:rPr>
              <w:t>) оренда реабілітаційними установами для осіб з інвалідністю та дітей з інвалідністю для розміщення таких реабілітаційних установ:</w:t>
            </w:r>
          </w:p>
        </w:tc>
        <w:tc>
          <w:tcPr>
            <w:tcW w:w="2181" w:type="dxa"/>
          </w:tcPr>
          <w:p w:rsidR="000E14A2" w:rsidRPr="00E64BCE"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 площі не більш як 100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1</w:t>
            </w:r>
          </w:p>
        </w:tc>
      </w:tr>
      <w:tr w:rsidR="000E14A2" w:rsidRPr="00E64BCE" w:rsidTr="009207B8">
        <w:tc>
          <w:tcPr>
            <w:tcW w:w="7204" w:type="dxa"/>
          </w:tcPr>
          <w:p w:rsidR="000E14A2" w:rsidRPr="00E64BCE" w:rsidRDefault="00F27E5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на частині площі, що перевищує 100 кв. метрів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p>
        </w:tc>
      </w:tr>
      <w:tr w:rsidR="000E14A2" w:rsidRPr="00E64BCE" w:rsidTr="009207B8">
        <w:tc>
          <w:tcPr>
            <w:tcW w:w="7204" w:type="dxa"/>
          </w:tcPr>
          <w:p w:rsidR="000E14A2" w:rsidRPr="00E64BCE" w:rsidRDefault="00F27E52" w:rsidP="003369A8">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r w:rsidR="003369A8">
              <w:rPr>
                <w:rFonts w:ascii="Times New Roman" w:eastAsia="Times New Roman" w:hAnsi="Times New Roman" w:cs="Times New Roman"/>
                <w:color w:val="000000"/>
                <w:sz w:val="24"/>
                <w:szCs w:val="24"/>
              </w:rPr>
              <w:t>1</w:t>
            </w:r>
            <w:r w:rsidRPr="00E64BCE">
              <w:rPr>
                <w:rFonts w:ascii="Times New Roman" w:eastAsia="Times New Roman" w:hAnsi="Times New Roman" w:cs="Times New Roman"/>
                <w:color w:val="000000"/>
                <w:sz w:val="24"/>
                <w:szCs w:val="24"/>
              </w:rPr>
              <w:t>) оренда окремого індивідуально визначеного нерухомого майна - берегозахисних споруд у вигляді штучних пляжів</w:t>
            </w:r>
          </w:p>
        </w:tc>
        <w:tc>
          <w:tcPr>
            <w:tcW w:w="2181" w:type="dxa"/>
          </w:tcPr>
          <w:p w:rsidR="000E14A2" w:rsidRPr="00E64BCE"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20</w:t>
            </w:r>
          </w:p>
        </w:tc>
      </w:tr>
      <w:tr w:rsidR="000E14A2" w:rsidTr="009207B8">
        <w:tc>
          <w:tcPr>
            <w:tcW w:w="7204" w:type="dxa"/>
          </w:tcPr>
          <w:p w:rsidR="000E14A2" w:rsidRPr="00E64BCE" w:rsidRDefault="00F27E52" w:rsidP="003369A8">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3</w:t>
            </w:r>
            <w:r w:rsidR="003369A8">
              <w:rPr>
                <w:rFonts w:ascii="Times New Roman" w:eastAsia="Times New Roman" w:hAnsi="Times New Roman" w:cs="Times New Roman"/>
                <w:color w:val="000000"/>
                <w:sz w:val="24"/>
                <w:szCs w:val="24"/>
              </w:rPr>
              <w:t>2</w:t>
            </w:r>
            <w:r w:rsidRPr="00E64BCE">
              <w:rPr>
                <w:rFonts w:ascii="Times New Roman" w:eastAsia="Times New Roman" w:hAnsi="Times New Roman" w:cs="Times New Roman"/>
                <w:color w:val="000000"/>
                <w:sz w:val="24"/>
                <w:szCs w:val="24"/>
              </w:rPr>
              <w:t>) інше використання нерухомого майна</w:t>
            </w:r>
          </w:p>
        </w:tc>
        <w:tc>
          <w:tcPr>
            <w:tcW w:w="2181" w:type="dxa"/>
          </w:tcPr>
          <w:p w:rsidR="000E14A2" w:rsidRDefault="00F27E5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r w:rsidRPr="00E64BCE">
              <w:rPr>
                <w:rFonts w:ascii="Times New Roman" w:eastAsia="Times New Roman" w:hAnsi="Times New Roman" w:cs="Times New Roman"/>
                <w:color w:val="000000"/>
                <w:sz w:val="24"/>
                <w:szCs w:val="24"/>
              </w:rPr>
              <w:t>20</w:t>
            </w:r>
          </w:p>
        </w:tc>
      </w:tr>
      <w:tr w:rsidR="000E14A2" w:rsidTr="009207B8">
        <w:tc>
          <w:tcPr>
            <w:tcW w:w="7204" w:type="dxa"/>
          </w:tcPr>
          <w:p w:rsidR="000E14A2" w:rsidRDefault="000E14A2">
            <w:pPr>
              <w:pBdr>
                <w:top w:val="nil"/>
                <w:left w:val="nil"/>
                <w:bottom w:val="nil"/>
                <w:right w:val="nil"/>
                <w:between w:val="nil"/>
              </w:pBdr>
              <w:spacing w:before="158" w:after="158" w:line="240" w:lineRule="auto"/>
              <w:rPr>
                <w:rFonts w:ascii="Times New Roman" w:eastAsia="Times New Roman" w:hAnsi="Times New Roman" w:cs="Times New Roman"/>
                <w:color w:val="000000"/>
                <w:sz w:val="24"/>
                <w:szCs w:val="24"/>
              </w:rPr>
            </w:pPr>
          </w:p>
        </w:tc>
        <w:tc>
          <w:tcPr>
            <w:tcW w:w="2181" w:type="dxa"/>
          </w:tcPr>
          <w:p w:rsidR="000E14A2" w:rsidRDefault="000E14A2">
            <w:pPr>
              <w:pBdr>
                <w:top w:val="nil"/>
                <w:left w:val="nil"/>
                <w:bottom w:val="nil"/>
                <w:right w:val="nil"/>
                <w:between w:val="nil"/>
              </w:pBdr>
              <w:spacing w:before="158" w:after="158" w:line="240" w:lineRule="auto"/>
              <w:jc w:val="center"/>
              <w:rPr>
                <w:rFonts w:ascii="Times New Roman" w:eastAsia="Times New Roman" w:hAnsi="Times New Roman" w:cs="Times New Roman"/>
                <w:color w:val="000000"/>
                <w:sz w:val="24"/>
                <w:szCs w:val="24"/>
              </w:rPr>
            </w:pPr>
          </w:p>
        </w:tc>
      </w:tr>
    </w:tbl>
    <w:p w:rsidR="00C006F4" w:rsidRPr="00C006F4" w:rsidRDefault="00F27E52"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bookmarkStart w:id="31" w:name="49x2ik5" w:colFirst="0" w:colLast="0"/>
      <w:bookmarkEnd w:id="31"/>
      <w:r>
        <w:rPr>
          <w:rFonts w:ascii="Times New Roman" w:eastAsia="Times New Roman" w:hAnsi="Times New Roman" w:cs="Times New Roman"/>
          <w:color w:val="333333"/>
          <w:sz w:val="25"/>
          <w:szCs w:val="25"/>
        </w:rPr>
        <w:t>_________</w:t>
      </w:r>
      <w:r>
        <w:rPr>
          <w:rFonts w:ascii="Times New Roman" w:eastAsia="Times New Roman" w:hAnsi="Times New Roman" w:cs="Times New Roman"/>
          <w:color w:val="333333"/>
          <w:sz w:val="25"/>
          <w:szCs w:val="25"/>
        </w:rPr>
        <w:br/>
      </w:r>
      <w:r>
        <w:rPr>
          <w:rFonts w:ascii="Times New Roman" w:eastAsia="Times New Roman" w:hAnsi="Times New Roman" w:cs="Times New Roman"/>
          <w:color w:val="333333"/>
          <w:sz w:val="20"/>
          <w:szCs w:val="20"/>
        </w:rPr>
        <w:t>* Орендна ставка застосовується до всієї площі приміщення, в якому здійснюється продаж алкогольних та/або тютюнових виробів.</w:t>
      </w: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Pr="00CF0EC9"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E64BCE" w:rsidRDefault="00E64BCE"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E64BCE" w:rsidRDefault="00E64BCE"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E64BCE" w:rsidRDefault="00E64BCE"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E64BCE" w:rsidRDefault="00E64BCE"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E64BCE" w:rsidRPr="00CF0EC9" w:rsidRDefault="00E64BCE"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8A35FD" w:rsidRDefault="008A35FD"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8A35FD" w:rsidRDefault="008A35FD"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8A35FD" w:rsidRDefault="008A35FD"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8A35FD" w:rsidRPr="00CF0EC9" w:rsidRDefault="008A35FD"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006F4" w:rsidRDefault="00C006F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80464" w:rsidRDefault="00C8046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80464" w:rsidRDefault="00C8046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80464" w:rsidRDefault="00C8046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80464" w:rsidRDefault="00C8046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80464" w:rsidRDefault="00C8046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80464" w:rsidRDefault="00C8046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052E9A" w:rsidRDefault="00052E9A"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052E9A" w:rsidRDefault="00052E9A"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052E9A" w:rsidRDefault="00052E9A"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052E9A" w:rsidRDefault="00052E9A"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052E9A" w:rsidRDefault="00052E9A"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052E9A" w:rsidRDefault="00052E9A"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052E9A" w:rsidRDefault="00052E9A"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052E9A" w:rsidRDefault="00052E9A"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052E9A" w:rsidRDefault="00052E9A"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052E9A" w:rsidRDefault="00052E9A"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052E9A" w:rsidRDefault="00052E9A"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C80464" w:rsidRPr="00CF0EC9" w:rsidRDefault="00C80464" w:rsidP="00C006F4">
      <w:pPr>
        <w:pBdr>
          <w:top w:val="nil"/>
          <w:left w:val="nil"/>
          <w:bottom w:val="nil"/>
          <w:right w:val="nil"/>
          <w:between w:val="nil"/>
        </w:pBdr>
        <w:shd w:val="clear" w:color="auto" w:fill="FFFFFF"/>
        <w:spacing w:before="158" w:after="158" w:line="240" w:lineRule="auto"/>
        <w:rPr>
          <w:rFonts w:ascii="Times New Roman" w:eastAsia="Times New Roman" w:hAnsi="Times New Roman" w:cs="Times New Roman"/>
          <w:color w:val="333333"/>
          <w:sz w:val="25"/>
          <w:szCs w:val="25"/>
          <w:lang w:val="ru-RU"/>
        </w:rPr>
      </w:pPr>
    </w:p>
    <w:p w:rsidR="00F27E52" w:rsidRPr="00C006F4" w:rsidRDefault="00F27E52" w:rsidP="00C006F4">
      <w:pPr>
        <w:pBdr>
          <w:top w:val="nil"/>
          <w:left w:val="nil"/>
          <w:bottom w:val="nil"/>
          <w:right w:val="nil"/>
          <w:between w:val="nil"/>
        </w:pBdr>
        <w:shd w:val="clear" w:color="auto" w:fill="FFFFFF"/>
        <w:spacing w:before="158" w:after="158" w:line="240" w:lineRule="auto"/>
        <w:jc w:val="right"/>
        <w:rPr>
          <w:rFonts w:ascii="Times New Roman" w:eastAsia="Times New Roman" w:hAnsi="Times New Roman" w:cs="Times New Roman"/>
          <w:color w:val="333333"/>
          <w:sz w:val="25"/>
          <w:szCs w:val="25"/>
        </w:rPr>
      </w:pPr>
      <w:r>
        <w:rPr>
          <w:rFonts w:ascii="Times New Roman" w:hAnsi="Times New Roman"/>
          <w:noProof/>
          <w:sz w:val="24"/>
          <w:szCs w:val="24"/>
          <w:lang w:val="ru-RU"/>
        </w:rPr>
        <w:t xml:space="preserve">Додаток 3 </w:t>
      </w:r>
      <w:r>
        <w:rPr>
          <w:rFonts w:ascii="Times New Roman" w:hAnsi="Times New Roman"/>
          <w:noProof/>
          <w:sz w:val="24"/>
          <w:szCs w:val="24"/>
          <w:lang w:val="ru-RU"/>
        </w:rPr>
        <w:br/>
        <w:t>до Методики</w:t>
      </w:r>
      <w:r>
        <w:rPr>
          <w:rFonts w:ascii="Times New Roman" w:hAnsi="Times New Roman"/>
          <w:noProof/>
          <w:sz w:val="24"/>
          <w:szCs w:val="24"/>
          <w:lang w:val="en-US"/>
        </w:rPr>
        <w:t> </w:t>
      </w:r>
    </w:p>
    <w:p w:rsidR="00F27E52" w:rsidRDefault="00F27E52" w:rsidP="00F27E52">
      <w:pPr>
        <w:keepNext/>
        <w:ind w:left="567"/>
        <w:jc w:val="right"/>
        <w:outlineLvl w:val="2"/>
        <w:rPr>
          <w:rFonts w:ascii="Times New Roman" w:hAnsi="Times New Roman"/>
          <w:b/>
          <w:i/>
          <w:noProof/>
          <w:sz w:val="24"/>
          <w:szCs w:val="24"/>
          <w:lang w:val="ru-RU"/>
        </w:rPr>
      </w:pPr>
    </w:p>
    <w:p w:rsidR="00F27E52" w:rsidRDefault="00F27E52" w:rsidP="00F27E52">
      <w:pPr>
        <w:keepNext/>
        <w:keepLines/>
        <w:spacing w:after="240"/>
        <w:ind w:left="3969"/>
        <w:jc w:val="center"/>
        <w:rPr>
          <w:rFonts w:ascii="Times New Roman" w:hAnsi="Times New Roman"/>
          <w:noProof/>
          <w:sz w:val="24"/>
          <w:szCs w:val="24"/>
          <w:lang w:val="ru-RU"/>
        </w:rPr>
      </w:pPr>
      <w:r>
        <w:rPr>
          <w:rFonts w:ascii="Times New Roman" w:hAnsi="Times New Roman"/>
          <w:noProof/>
          <w:sz w:val="24"/>
          <w:szCs w:val="24"/>
          <w:lang w:val="ru-RU"/>
        </w:rPr>
        <w:t>ЗАТВЕРДЖЕНО</w:t>
      </w:r>
      <w:r>
        <w:rPr>
          <w:rFonts w:ascii="Times New Roman" w:hAnsi="Times New Roman"/>
          <w:noProof/>
          <w:sz w:val="24"/>
          <w:szCs w:val="24"/>
          <w:lang w:val="ru-RU"/>
        </w:rPr>
        <w:br/>
        <w:t>Уповноважена особа орендодавця</w:t>
      </w:r>
      <w:r>
        <w:rPr>
          <w:rFonts w:ascii="Times New Roman" w:hAnsi="Times New Roman"/>
          <w:noProof/>
          <w:sz w:val="24"/>
          <w:szCs w:val="24"/>
          <w:lang w:val="ru-RU"/>
        </w:rPr>
        <w:br/>
        <w:t>__________________________</w:t>
      </w:r>
    </w:p>
    <w:p w:rsidR="00F27E52" w:rsidRDefault="00F27E52" w:rsidP="00F27E52">
      <w:pPr>
        <w:keepNext/>
        <w:keepLines/>
        <w:spacing w:after="240"/>
        <w:ind w:left="3969"/>
        <w:jc w:val="center"/>
        <w:rPr>
          <w:rFonts w:ascii="Times New Roman" w:hAnsi="Times New Roman"/>
          <w:noProof/>
          <w:sz w:val="24"/>
          <w:szCs w:val="24"/>
          <w:lang w:val="ru-RU"/>
        </w:rPr>
      </w:pPr>
      <w:r>
        <w:rPr>
          <w:rFonts w:ascii="Times New Roman" w:hAnsi="Times New Roman"/>
          <w:noProof/>
          <w:sz w:val="24"/>
          <w:szCs w:val="24"/>
          <w:lang w:val="ru-RU"/>
        </w:rPr>
        <w:t>___ ____________ 20__ року</w:t>
      </w:r>
    </w:p>
    <w:p w:rsidR="00F27E52" w:rsidRDefault="00F27E52" w:rsidP="00F27E52">
      <w:pPr>
        <w:keepNext/>
        <w:keepLines/>
        <w:spacing w:after="240"/>
        <w:ind w:left="3969"/>
        <w:jc w:val="center"/>
        <w:rPr>
          <w:rFonts w:ascii="Times New Roman" w:hAnsi="Times New Roman"/>
          <w:noProof/>
          <w:sz w:val="24"/>
          <w:szCs w:val="24"/>
          <w:lang w:val="ru-RU"/>
        </w:rPr>
      </w:pPr>
      <w:r>
        <w:rPr>
          <w:rFonts w:ascii="Times New Roman" w:hAnsi="Times New Roman"/>
          <w:noProof/>
          <w:sz w:val="24"/>
          <w:szCs w:val="24"/>
          <w:lang w:val="ru-RU"/>
        </w:rPr>
        <w:t>МП (у разі наявності)</w:t>
      </w:r>
    </w:p>
    <w:p w:rsidR="00F27E52" w:rsidRDefault="00F27E52" w:rsidP="00F27E52">
      <w:pPr>
        <w:keepNext/>
        <w:keepLines/>
        <w:spacing w:before="240" w:after="240"/>
        <w:jc w:val="center"/>
        <w:rPr>
          <w:rFonts w:ascii="Times New Roman" w:hAnsi="Times New Roman"/>
          <w:b/>
          <w:noProof/>
          <w:sz w:val="28"/>
          <w:szCs w:val="28"/>
          <w:lang w:val="ru-RU"/>
        </w:rPr>
      </w:pPr>
      <w:r>
        <w:rPr>
          <w:rFonts w:ascii="Times New Roman" w:hAnsi="Times New Roman"/>
          <w:b/>
          <w:noProof/>
          <w:sz w:val="28"/>
          <w:szCs w:val="28"/>
          <w:lang w:val="ru-RU"/>
        </w:rPr>
        <w:t>РОЗРАХУНОК</w:t>
      </w:r>
      <w:r>
        <w:rPr>
          <w:rFonts w:ascii="Times New Roman" w:hAnsi="Times New Roman"/>
          <w:b/>
          <w:noProof/>
          <w:sz w:val="28"/>
          <w:szCs w:val="28"/>
          <w:lang w:val="ru-RU"/>
        </w:rPr>
        <w:br/>
        <w:t>орендної плати за базовий місяць</w:t>
      </w:r>
    </w:p>
    <w:p w:rsidR="00F27E52" w:rsidRDefault="00F27E52" w:rsidP="00F27E52">
      <w:pPr>
        <w:jc w:val="center"/>
        <w:rPr>
          <w:rFonts w:ascii="Times New Roman" w:hAnsi="Times New Roman"/>
          <w:noProof/>
          <w:sz w:val="28"/>
          <w:szCs w:val="28"/>
          <w:lang w:val="ru-RU"/>
        </w:rPr>
      </w:pPr>
      <w:r>
        <w:rPr>
          <w:rFonts w:ascii="Times New Roman" w:hAnsi="Times New Roman"/>
          <w:noProof/>
          <w:sz w:val="24"/>
          <w:szCs w:val="24"/>
          <w:lang w:val="ru-RU"/>
        </w:rPr>
        <w:t>Майно перебуває на балансі</w:t>
      </w:r>
      <w:r>
        <w:rPr>
          <w:rFonts w:ascii="Times New Roman" w:hAnsi="Times New Roman"/>
          <w:noProof/>
          <w:sz w:val="28"/>
          <w:szCs w:val="28"/>
          <w:lang w:val="ru-RU"/>
        </w:rPr>
        <w:t xml:space="preserve"> ____________________________________________________</w:t>
      </w:r>
      <w:r>
        <w:rPr>
          <w:rFonts w:ascii="Times New Roman" w:hAnsi="Times New Roman"/>
          <w:noProof/>
          <w:sz w:val="28"/>
          <w:szCs w:val="28"/>
          <w:lang w:val="ru-RU"/>
        </w:rPr>
        <w:br/>
      </w:r>
      <w:r>
        <w:rPr>
          <w:rFonts w:ascii="Times New Roman" w:hAnsi="Times New Roman"/>
          <w:noProof/>
          <w:sz w:val="28"/>
          <w:szCs w:val="28"/>
          <w:lang w:val="en-US"/>
        </w:rPr>
        <w:t>   </w:t>
      </w:r>
      <w:r>
        <w:rPr>
          <w:rFonts w:ascii="Times New Roman" w:hAnsi="Times New Roman"/>
          <w:noProof/>
          <w:sz w:val="20"/>
          <w:lang w:val="ru-RU"/>
        </w:rPr>
        <w:t>(найменування балансоутримувача)</w:t>
      </w:r>
    </w:p>
    <w:p w:rsidR="00F27E52" w:rsidRDefault="00F27E52" w:rsidP="00C006F4">
      <w:pPr>
        <w:jc w:val="right"/>
        <w:rPr>
          <w:rFonts w:asciiTheme="minorHAnsi" w:hAnsiTheme="minorHAnsi"/>
          <w:noProof/>
          <w:lang w:val="ru-RU"/>
        </w:rPr>
      </w:pPr>
    </w:p>
    <w:tbl>
      <w:tblPr>
        <w:tblW w:w="53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1987"/>
        <w:gridCol w:w="937"/>
        <w:gridCol w:w="2772"/>
        <w:gridCol w:w="1069"/>
        <w:gridCol w:w="890"/>
        <w:gridCol w:w="1292"/>
      </w:tblGrid>
      <w:tr w:rsidR="00F27E52" w:rsidTr="00CC2D11">
        <w:trPr>
          <w:jc w:val="center"/>
        </w:trPr>
        <w:tc>
          <w:tcPr>
            <w:tcW w:w="712" w:type="pct"/>
            <w:vMerge w:val="restart"/>
            <w:vAlign w:val="center"/>
            <w:hideMark/>
          </w:tcPr>
          <w:p w:rsidR="00F27E52" w:rsidRPr="00CC2D11" w:rsidRDefault="00F27E52">
            <w:pPr>
              <w:spacing w:before="120" w:after="160" w:line="256" w:lineRule="auto"/>
              <w:jc w:val="center"/>
              <w:rPr>
                <w:rFonts w:ascii="Times New Roman" w:hAnsi="Times New Roman"/>
                <w:noProof/>
                <w:szCs w:val="24"/>
                <w:lang w:val="en-US" w:eastAsia="en-US"/>
              </w:rPr>
            </w:pPr>
            <w:r w:rsidRPr="00CC2D11">
              <w:rPr>
                <w:rFonts w:ascii="Times New Roman" w:hAnsi="Times New Roman"/>
                <w:noProof/>
                <w:szCs w:val="24"/>
                <w:lang w:val="en-US"/>
              </w:rPr>
              <w:t xml:space="preserve">Порядковий номер </w:t>
            </w:r>
          </w:p>
        </w:tc>
        <w:tc>
          <w:tcPr>
            <w:tcW w:w="1022" w:type="pct"/>
            <w:vMerge w:val="restart"/>
            <w:vAlign w:val="center"/>
            <w:hideMark/>
          </w:tcPr>
          <w:p w:rsidR="00F27E52" w:rsidRPr="00CC2D11" w:rsidRDefault="00F27E52">
            <w:pPr>
              <w:spacing w:before="120" w:after="160" w:line="256" w:lineRule="auto"/>
              <w:jc w:val="center"/>
              <w:rPr>
                <w:rFonts w:ascii="Times New Roman" w:hAnsi="Times New Roman"/>
                <w:noProof/>
                <w:szCs w:val="24"/>
                <w:lang w:val="ru-RU" w:eastAsia="en-US"/>
              </w:rPr>
            </w:pPr>
            <w:r w:rsidRPr="00CC2D11">
              <w:rPr>
                <w:rFonts w:ascii="Times New Roman" w:hAnsi="Times New Roman"/>
                <w:noProof/>
                <w:szCs w:val="24"/>
                <w:lang w:val="ru-RU"/>
              </w:rPr>
              <w:t>Назва та місцезнаходження об’єкта оренди</w:t>
            </w:r>
          </w:p>
        </w:tc>
        <w:tc>
          <w:tcPr>
            <w:tcW w:w="486" w:type="pct"/>
            <w:vMerge w:val="restart"/>
            <w:vAlign w:val="center"/>
            <w:hideMark/>
          </w:tcPr>
          <w:p w:rsidR="00F27E52" w:rsidRPr="00CC2D11" w:rsidRDefault="00F27E52">
            <w:pPr>
              <w:spacing w:before="120" w:after="160" w:line="256" w:lineRule="auto"/>
              <w:jc w:val="center"/>
              <w:rPr>
                <w:rFonts w:ascii="Times New Roman" w:hAnsi="Times New Roman"/>
                <w:noProof/>
                <w:szCs w:val="24"/>
                <w:lang w:val="ru-RU" w:eastAsia="en-US"/>
              </w:rPr>
            </w:pPr>
            <w:r w:rsidRPr="00CC2D11">
              <w:rPr>
                <w:rFonts w:ascii="Times New Roman" w:hAnsi="Times New Roman"/>
                <w:noProof/>
                <w:szCs w:val="24"/>
                <w:lang w:val="ru-RU"/>
              </w:rPr>
              <w:t>Площа об’єкта оренди, кв. метрів</w:t>
            </w:r>
          </w:p>
        </w:tc>
        <w:tc>
          <w:tcPr>
            <w:tcW w:w="1413" w:type="pct"/>
            <w:vMerge w:val="restart"/>
            <w:vAlign w:val="center"/>
            <w:hideMark/>
          </w:tcPr>
          <w:p w:rsidR="00F27E52" w:rsidRPr="00CC2D11" w:rsidRDefault="00F27E52">
            <w:pPr>
              <w:spacing w:before="120" w:after="160" w:line="256" w:lineRule="auto"/>
              <w:jc w:val="center"/>
              <w:rPr>
                <w:rFonts w:ascii="Times New Roman" w:hAnsi="Times New Roman"/>
                <w:noProof/>
                <w:szCs w:val="24"/>
                <w:lang w:val="ru-RU" w:eastAsia="en-US"/>
              </w:rPr>
            </w:pPr>
            <w:r w:rsidRPr="00CC2D11">
              <w:rPr>
                <w:rFonts w:ascii="Times New Roman" w:hAnsi="Times New Roman"/>
                <w:noProof/>
                <w:szCs w:val="24"/>
                <w:lang w:val="ru-RU"/>
              </w:rPr>
              <w:t>Вартість об’єкта оренди за незалежною оцінкою на</w:t>
            </w:r>
            <w:r w:rsidRPr="00CC2D11">
              <w:rPr>
                <w:rFonts w:ascii="Times New Roman" w:hAnsi="Times New Roman"/>
                <w:noProof/>
                <w:szCs w:val="24"/>
                <w:lang w:val="ru-RU"/>
              </w:rPr>
              <w:br/>
              <w:t>___</w:t>
            </w:r>
            <w:r w:rsidRPr="00CC2D11">
              <w:rPr>
                <w:rFonts w:ascii="Times New Roman" w:hAnsi="Times New Roman"/>
                <w:noProof/>
                <w:szCs w:val="24"/>
                <w:lang w:val="en-US"/>
              </w:rPr>
              <w:t> </w:t>
            </w:r>
            <w:r w:rsidRPr="00CC2D11">
              <w:rPr>
                <w:rFonts w:ascii="Times New Roman" w:hAnsi="Times New Roman"/>
                <w:noProof/>
                <w:szCs w:val="24"/>
                <w:lang w:val="ru-RU"/>
              </w:rPr>
              <w:t>_________</w:t>
            </w:r>
            <w:r w:rsidRPr="00CC2D11">
              <w:rPr>
                <w:rFonts w:ascii="Times New Roman" w:hAnsi="Times New Roman"/>
                <w:noProof/>
                <w:szCs w:val="24"/>
                <w:lang w:val="en-US"/>
              </w:rPr>
              <w:t> </w:t>
            </w:r>
            <w:r w:rsidRPr="00CC2D11">
              <w:rPr>
                <w:rFonts w:ascii="Times New Roman" w:hAnsi="Times New Roman"/>
                <w:noProof/>
                <w:szCs w:val="24"/>
                <w:lang w:val="ru-RU"/>
              </w:rPr>
              <w:t>20___</w:t>
            </w:r>
            <w:r w:rsidRPr="00CC2D11">
              <w:rPr>
                <w:rFonts w:ascii="Times New Roman" w:hAnsi="Times New Roman"/>
                <w:noProof/>
                <w:szCs w:val="24"/>
                <w:lang w:val="en-US"/>
              </w:rPr>
              <w:t> </w:t>
            </w:r>
            <w:r w:rsidRPr="00CC2D11">
              <w:rPr>
                <w:rFonts w:ascii="Times New Roman" w:hAnsi="Times New Roman"/>
                <w:noProof/>
                <w:szCs w:val="24"/>
                <w:lang w:val="ru-RU"/>
              </w:rPr>
              <w:t>року</w:t>
            </w:r>
          </w:p>
        </w:tc>
        <w:tc>
          <w:tcPr>
            <w:tcW w:w="556" w:type="pct"/>
            <w:vMerge w:val="restart"/>
            <w:vAlign w:val="center"/>
            <w:hideMark/>
          </w:tcPr>
          <w:p w:rsidR="00F27E52" w:rsidRPr="00CC2D11" w:rsidRDefault="00F27E52">
            <w:pPr>
              <w:spacing w:before="120" w:after="160" w:line="256" w:lineRule="auto"/>
              <w:jc w:val="center"/>
              <w:rPr>
                <w:rFonts w:ascii="Times New Roman" w:hAnsi="Times New Roman"/>
                <w:noProof/>
                <w:szCs w:val="24"/>
                <w:lang w:val="en-US" w:eastAsia="en-US"/>
              </w:rPr>
            </w:pPr>
            <w:r w:rsidRPr="00CC2D11">
              <w:rPr>
                <w:rFonts w:ascii="Times New Roman" w:hAnsi="Times New Roman"/>
                <w:noProof/>
                <w:szCs w:val="24"/>
                <w:lang w:val="en-US"/>
              </w:rPr>
              <w:t>Орендна ставка*, відсотків</w:t>
            </w:r>
          </w:p>
        </w:tc>
        <w:tc>
          <w:tcPr>
            <w:tcW w:w="811" w:type="pct"/>
            <w:gridSpan w:val="2"/>
            <w:vAlign w:val="center"/>
            <w:hideMark/>
          </w:tcPr>
          <w:p w:rsidR="00F27E52" w:rsidRPr="00CC2D11" w:rsidRDefault="00F27E52">
            <w:pPr>
              <w:spacing w:before="120" w:after="160" w:line="256" w:lineRule="auto"/>
              <w:jc w:val="center"/>
              <w:rPr>
                <w:rFonts w:ascii="Times New Roman" w:hAnsi="Times New Roman"/>
                <w:noProof/>
                <w:szCs w:val="24"/>
                <w:lang w:val="ru-RU" w:eastAsia="en-US"/>
              </w:rPr>
            </w:pPr>
            <w:r w:rsidRPr="00CC2D11">
              <w:rPr>
                <w:rFonts w:ascii="Times New Roman" w:hAnsi="Times New Roman"/>
                <w:noProof/>
                <w:szCs w:val="24"/>
                <w:lang w:val="ru-RU"/>
              </w:rPr>
              <w:t>Орендна плата за базовий місяць</w:t>
            </w:r>
          </w:p>
        </w:tc>
      </w:tr>
      <w:tr w:rsidR="00F27E52" w:rsidTr="00CC2D11">
        <w:trPr>
          <w:jc w:val="center"/>
        </w:trPr>
        <w:tc>
          <w:tcPr>
            <w:tcW w:w="712" w:type="pct"/>
            <w:vMerge/>
            <w:vAlign w:val="center"/>
            <w:hideMark/>
          </w:tcPr>
          <w:p w:rsidR="00F27E52" w:rsidRPr="00CC2D11" w:rsidRDefault="00F27E52">
            <w:pPr>
              <w:spacing w:after="0" w:line="240" w:lineRule="auto"/>
              <w:rPr>
                <w:rFonts w:ascii="Times New Roman" w:hAnsi="Times New Roman"/>
                <w:noProof/>
                <w:szCs w:val="24"/>
                <w:lang w:val="ru-RU" w:eastAsia="en-US"/>
              </w:rPr>
            </w:pPr>
          </w:p>
        </w:tc>
        <w:tc>
          <w:tcPr>
            <w:tcW w:w="0" w:type="auto"/>
            <w:vMerge/>
            <w:vAlign w:val="center"/>
            <w:hideMark/>
          </w:tcPr>
          <w:p w:rsidR="00F27E52" w:rsidRPr="00CC2D11" w:rsidRDefault="00F27E52">
            <w:pPr>
              <w:spacing w:after="0" w:line="240" w:lineRule="auto"/>
              <w:rPr>
                <w:rFonts w:ascii="Times New Roman" w:hAnsi="Times New Roman"/>
                <w:noProof/>
                <w:szCs w:val="24"/>
                <w:lang w:val="ru-RU" w:eastAsia="en-US"/>
              </w:rPr>
            </w:pPr>
          </w:p>
        </w:tc>
        <w:tc>
          <w:tcPr>
            <w:tcW w:w="0" w:type="auto"/>
            <w:vMerge/>
            <w:vAlign w:val="center"/>
            <w:hideMark/>
          </w:tcPr>
          <w:p w:rsidR="00F27E52" w:rsidRPr="00CC2D11" w:rsidRDefault="00F27E52">
            <w:pPr>
              <w:spacing w:after="0" w:line="240" w:lineRule="auto"/>
              <w:rPr>
                <w:rFonts w:ascii="Times New Roman" w:hAnsi="Times New Roman"/>
                <w:noProof/>
                <w:szCs w:val="24"/>
                <w:lang w:val="ru-RU" w:eastAsia="en-US"/>
              </w:rPr>
            </w:pPr>
          </w:p>
        </w:tc>
        <w:tc>
          <w:tcPr>
            <w:tcW w:w="0" w:type="auto"/>
            <w:vMerge/>
            <w:vAlign w:val="center"/>
            <w:hideMark/>
          </w:tcPr>
          <w:p w:rsidR="00F27E52" w:rsidRPr="00CC2D11" w:rsidRDefault="00F27E52">
            <w:pPr>
              <w:spacing w:after="0" w:line="240" w:lineRule="auto"/>
              <w:rPr>
                <w:rFonts w:ascii="Times New Roman" w:hAnsi="Times New Roman"/>
                <w:noProof/>
                <w:szCs w:val="24"/>
                <w:lang w:val="ru-RU" w:eastAsia="en-US"/>
              </w:rPr>
            </w:pPr>
          </w:p>
        </w:tc>
        <w:tc>
          <w:tcPr>
            <w:tcW w:w="0" w:type="auto"/>
            <w:vMerge/>
            <w:vAlign w:val="center"/>
            <w:hideMark/>
          </w:tcPr>
          <w:p w:rsidR="00F27E52" w:rsidRPr="00CC2D11" w:rsidRDefault="00F27E52">
            <w:pPr>
              <w:spacing w:after="0" w:line="240" w:lineRule="auto"/>
              <w:rPr>
                <w:rFonts w:ascii="Times New Roman" w:hAnsi="Times New Roman"/>
                <w:noProof/>
                <w:szCs w:val="24"/>
                <w:lang w:val="ru-RU" w:eastAsia="en-US"/>
              </w:rPr>
            </w:pPr>
          </w:p>
        </w:tc>
        <w:tc>
          <w:tcPr>
            <w:tcW w:w="461" w:type="pct"/>
            <w:vAlign w:val="center"/>
            <w:hideMark/>
          </w:tcPr>
          <w:p w:rsidR="00F27E52" w:rsidRPr="00CC2D11" w:rsidRDefault="00F27E52">
            <w:pPr>
              <w:spacing w:before="120" w:after="160" w:line="256" w:lineRule="auto"/>
              <w:jc w:val="center"/>
              <w:rPr>
                <w:rFonts w:ascii="Times New Roman" w:hAnsi="Times New Roman"/>
                <w:noProof/>
                <w:szCs w:val="24"/>
                <w:lang w:val="en-US" w:eastAsia="en-US"/>
              </w:rPr>
            </w:pPr>
            <w:r w:rsidRPr="00CC2D11">
              <w:rPr>
                <w:rFonts w:ascii="Times New Roman" w:hAnsi="Times New Roman"/>
                <w:noProof/>
                <w:szCs w:val="24"/>
                <w:lang w:val="en-US"/>
              </w:rPr>
              <w:t>назва місяця, рік</w:t>
            </w:r>
          </w:p>
        </w:tc>
        <w:tc>
          <w:tcPr>
            <w:tcW w:w="350" w:type="pct"/>
            <w:vAlign w:val="center"/>
            <w:hideMark/>
          </w:tcPr>
          <w:p w:rsidR="00F27E52" w:rsidRPr="00CC2D11" w:rsidRDefault="00F27E52">
            <w:pPr>
              <w:spacing w:before="120" w:after="160" w:line="256" w:lineRule="auto"/>
              <w:jc w:val="center"/>
              <w:rPr>
                <w:rFonts w:ascii="Times New Roman" w:hAnsi="Times New Roman"/>
                <w:noProof/>
                <w:szCs w:val="24"/>
                <w:lang w:val="ru-RU" w:eastAsia="en-US"/>
              </w:rPr>
            </w:pPr>
            <w:r w:rsidRPr="00CC2D11">
              <w:rPr>
                <w:rFonts w:ascii="Times New Roman" w:hAnsi="Times New Roman"/>
                <w:noProof/>
                <w:szCs w:val="24"/>
                <w:lang w:val="ru-RU"/>
              </w:rPr>
              <w:t>орендна плата без урахування податку на додану вартість**, гривень</w:t>
            </w:r>
          </w:p>
        </w:tc>
        <w:bookmarkStart w:id="32" w:name="_GoBack"/>
        <w:bookmarkEnd w:id="32"/>
      </w:tr>
    </w:tbl>
    <w:p w:rsidR="00F27E52" w:rsidRDefault="00F27E52" w:rsidP="00F27E52">
      <w:pPr>
        <w:jc w:val="both"/>
        <w:rPr>
          <w:rFonts w:asciiTheme="minorHAnsi" w:hAnsiTheme="minorHAnsi" w:cstheme="minorBidi"/>
          <w:noProof/>
          <w:lang w:val="ru-RU" w:eastAsia="en-US"/>
        </w:rPr>
      </w:pPr>
    </w:p>
    <w:p w:rsidR="00F27E52" w:rsidRDefault="00F27E52" w:rsidP="00F27E52">
      <w:pPr>
        <w:jc w:val="both"/>
        <w:rPr>
          <w:rFonts w:ascii="Times New Roman" w:hAnsi="Times New Roman"/>
          <w:noProof/>
          <w:sz w:val="20"/>
          <w:szCs w:val="20"/>
          <w:lang w:val="ru-RU"/>
        </w:rPr>
      </w:pPr>
      <w:r>
        <w:rPr>
          <w:noProof/>
          <w:sz w:val="20"/>
          <w:szCs w:val="20"/>
          <w:lang w:val="ru-RU"/>
        </w:rPr>
        <w:t>________</w:t>
      </w:r>
      <w:r>
        <w:rPr>
          <w:noProof/>
          <w:sz w:val="20"/>
          <w:szCs w:val="20"/>
          <w:lang w:val="ru-RU"/>
        </w:rPr>
        <w:br/>
      </w:r>
      <w:r>
        <w:rPr>
          <w:rFonts w:ascii="Times New Roman" w:hAnsi="Times New Roman"/>
          <w:noProof/>
          <w:sz w:val="20"/>
          <w:szCs w:val="20"/>
          <w:lang w:val="ru-RU"/>
        </w:rPr>
        <w:t xml:space="preserve">* Орендна ставка визначається на підставі цільового призначення згідно із додатками 1 або 2 до Методики розрахунку орендної плати за державне майно, затвердженої постановою Кабінету Міністрів України від 28 квітня 2021 р. № 630. </w:t>
      </w:r>
    </w:p>
    <w:p w:rsidR="00F27E52" w:rsidRDefault="00F27E52" w:rsidP="00F27E52">
      <w:pPr>
        <w:spacing w:before="120"/>
        <w:jc w:val="both"/>
        <w:rPr>
          <w:rFonts w:ascii="Times New Roman" w:hAnsi="Times New Roman"/>
          <w:noProof/>
          <w:color w:val="000000"/>
          <w:sz w:val="20"/>
          <w:szCs w:val="20"/>
          <w:lang w:val="ru-RU"/>
        </w:rPr>
      </w:pPr>
      <w:r>
        <w:rPr>
          <w:rFonts w:ascii="Times New Roman" w:hAnsi="Times New Roman"/>
          <w:noProof/>
          <w:color w:val="000000"/>
          <w:sz w:val="20"/>
          <w:szCs w:val="20"/>
          <w:lang w:val="ru-RU"/>
        </w:rPr>
        <w:t>** Оподаткування орендної плати здійснюється відповідно до вимог законодавства.</w:t>
      </w:r>
    </w:p>
    <w:p w:rsidR="00F27E52" w:rsidRDefault="00F27E52" w:rsidP="00F27E52">
      <w:pPr>
        <w:jc w:val="both"/>
        <w:rPr>
          <w:rFonts w:asciiTheme="minorHAnsi" w:hAnsiTheme="minorHAnsi"/>
          <w:noProof/>
          <w:color w:val="000000"/>
          <w:lang w:val="ru-RU"/>
        </w:rPr>
      </w:pPr>
    </w:p>
    <w:p w:rsidR="00F27E52" w:rsidRDefault="00F27E52" w:rsidP="00F27E52">
      <w:pPr>
        <w:jc w:val="both"/>
        <w:rPr>
          <w:noProof/>
          <w:color w:val="000000"/>
          <w:lang w:val="ru-RU"/>
        </w:rPr>
      </w:pPr>
    </w:p>
    <w:tbl>
      <w:tblPr>
        <w:tblW w:w="9585" w:type="dxa"/>
        <w:tblLayout w:type="fixed"/>
        <w:tblLook w:val="04A0" w:firstRow="1" w:lastRow="0" w:firstColumn="1" w:lastColumn="0" w:noHBand="0" w:noVBand="1"/>
      </w:tblPr>
      <w:tblGrid>
        <w:gridCol w:w="3170"/>
        <w:gridCol w:w="2585"/>
        <w:gridCol w:w="3830"/>
      </w:tblGrid>
      <w:tr w:rsidR="00F27E52" w:rsidTr="00F27E52">
        <w:tc>
          <w:tcPr>
            <w:tcW w:w="3170" w:type="dxa"/>
            <w:hideMark/>
          </w:tcPr>
          <w:p w:rsidR="00F27E52" w:rsidRDefault="00F27E52">
            <w:pPr>
              <w:spacing w:before="120" w:after="160" w:line="256" w:lineRule="auto"/>
              <w:rPr>
                <w:rFonts w:ascii="Times New Roman" w:hAnsi="Times New Roman"/>
                <w:noProof/>
                <w:sz w:val="24"/>
                <w:szCs w:val="24"/>
                <w:lang w:val="en-US" w:eastAsia="en-US"/>
              </w:rPr>
            </w:pPr>
            <w:r>
              <w:rPr>
                <w:rFonts w:ascii="Times New Roman" w:hAnsi="Times New Roman"/>
                <w:noProof/>
                <w:sz w:val="24"/>
                <w:szCs w:val="24"/>
                <w:lang w:val="en-US"/>
              </w:rPr>
              <w:t>Уповноважена особа орендаря</w:t>
            </w:r>
          </w:p>
        </w:tc>
        <w:tc>
          <w:tcPr>
            <w:tcW w:w="2584" w:type="dxa"/>
            <w:hideMark/>
          </w:tcPr>
          <w:p w:rsidR="00F27E52" w:rsidRDefault="00F27E52">
            <w:pPr>
              <w:spacing w:before="120" w:after="160" w:line="256" w:lineRule="auto"/>
              <w:jc w:val="center"/>
              <w:rPr>
                <w:rFonts w:ascii="Times New Roman" w:hAnsi="Times New Roman"/>
                <w:noProof/>
                <w:sz w:val="24"/>
                <w:szCs w:val="24"/>
                <w:lang w:val="en-US" w:eastAsia="en-US"/>
              </w:rPr>
            </w:pPr>
            <w:r>
              <w:rPr>
                <w:rFonts w:ascii="Times New Roman" w:hAnsi="Times New Roman"/>
                <w:noProof/>
                <w:sz w:val="24"/>
                <w:szCs w:val="24"/>
                <w:lang w:val="en-US"/>
              </w:rPr>
              <w:t>___________</w:t>
            </w:r>
            <w:r>
              <w:rPr>
                <w:rFonts w:ascii="Times New Roman" w:hAnsi="Times New Roman"/>
                <w:noProof/>
                <w:sz w:val="24"/>
                <w:szCs w:val="24"/>
                <w:lang w:val="en-US"/>
              </w:rPr>
              <w:br/>
            </w:r>
            <w:r>
              <w:rPr>
                <w:rFonts w:ascii="Times New Roman" w:hAnsi="Times New Roman"/>
                <w:noProof/>
                <w:sz w:val="20"/>
                <w:szCs w:val="20"/>
                <w:lang w:val="en-US"/>
              </w:rPr>
              <w:t>(підпис)</w:t>
            </w:r>
          </w:p>
        </w:tc>
        <w:tc>
          <w:tcPr>
            <w:tcW w:w="3829" w:type="dxa"/>
            <w:hideMark/>
          </w:tcPr>
          <w:p w:rsidR="00F27E52" w:rsidRDefault="00F27E52">
            <w:pPr>
              <w:spacing w:before="120" w:after="160" w:line="256" w:lineRule="auto"/>
              <w:jc w:val="center"/>
              <w:rPr>
                <w:rFonts w:ascii="Times New Roman" w:hAnsi="Times New Roman"/>
                <w:noProof/>
                <w:sz w:val="24"/>
                <w:szCs w:val="24"/>
                <w:lang w:val="ru-RU" w:eastAsia="en-US"/>
              </w:rPr>
            </w:pPr>
            <w:r>
              <w:rPr>
                <w:rFonts w:ascii="Times New Roman" w:hAnsi="Times New Roman"/>
                <w:noProof/>
                <w:sz w:val="24"/>
                <w:szCs w:val="24"/>
                <w:lang w:val="ru-RU"/>
              </w:rPr>
              <w:t>______________________________</w:t>
            </w:r>
            <w:r>
              <w:rPr>
                <w:rFonts w:ascii="Times New Roman" w:hAnsi="Times New Roman"/>
                <w:noProof/>
                <w:sz w:val="24"/>
                <w:szCs w:val="24"/>
                <w:lang w:val="ru-RU"/>
              </w:rPr>
              <w:br/>
            </w:r>
            <w:r>
              <w:rPr>
                <w:rFonts w:ascii="Times New Roman" w:hAnsi="Times New Roman"/>
                <w:noProof/>
                <w:sz w:val="20"/>
                <w:szCs w:val="20"/>
                <w:lang w:val="ru-RU"/>
              </w:rPr>
              <w:t>(прізвище, ім’я, по батькові за наявності)</w:t>
            </w:r>
          </w:p>
        </w:tc>
      </w:tr>
      <w:tr w:rsidR="00F27E52" w:rsidTr="00F27E52">
        <w:tc>
          <w:tcPr>
            <w:tcW w:w="3170" w:type="dxa"/>
            <w:hideMark/>
          </w:tcPr>
          <w:p w:rsidR="00F27E52" w:rsidRDefault="00F27E52">
            <w:pPr>
              <w:spacing w:before="120" w:after="160" w:line="256" w:lineRule="auto"/>
              <w:rPr>
                <w:rFonts w:ascii="Times New Roman" w:hAnsi="Times New Roman"/>
                <w:noProof/>
                <w:sz w:val="24"/>
                <w:szCs w:val="24"/>
                <w:lang w:val="en-US" w:eastAsia="en-US"/>
              </w:rPr>
            </w:pPr>
            <w:r>
              <w:rPr>
                <w:rFonts w:ascii="Times New Roman" w:hAnsi="Times New Roman"/>
                <w:noProof/>
                <w:sz w:val="24"/>
                <w:szCs w:val="24"/>
                <w:lang w:val="en-US"/>
              </w:rPr>
              <w:t>МП (у разі наявності)</w:t>
            </w:r>
          </w:p>
        </w:tc>
        <w:tc>
          <w:tcPr>
            <w:tcW w:w="2584" w:type="dxa"/>
            <w:hideMark/>
          </w:tcPr>
          <w:p w:rsidR="00F27E52" w:rsidRDefault="00F27E52">
            <w:pPr>
              <w:spacing w:before="120" w:after="160" w:line="256" w:lineRule="auto"/>
              <w:rPr>
                <w:rFonts w:ascii="Times New Roman" w:hAnsi="Times New Roman"/>
                <w:noProof/>
                <w:sz w:val="24"/>
                <w:szCs w:val="24"/>
                <w:lang w:val="en-US" w:eastAsia="en-US"/>
              </w:rPr>
            </w:pPr>
            <w:r>
              <w:rPr>
                <w:rFonts w:ascii="Times New Roman" w:hAnsi="Times New Roman"/>
                <w:noProof/>
                <w:sz w:val="24"/>
                <w:szCs w:val="24"/>
                <w:lang w:val="en-US"/>
              </w:rPr>
              <w:t> </w:t>
            </w:r>
          </w:p>
        </w:tc>
        <w:tc>
          <w:tcPr>
            <w:tcW w:w="3829" w:type="dxa"/>
            <w:hideMark/>
          </w:tcPr>
          <w:p w:rsidR="00F27E52" w:rsidRDefault="00F27E52">
            <w:pPr>
              <w:spacing w:before="120" w:after="160" w:line="256" w:lineRule="auto"/>
              <w:rPr>
                <w:rFonts w:ascii="Times New Roman" w:hAnsi="Times New Roman"/>
                <w:noProof/>
                <w:sz w:val="24"/>
                <w:szCs w:val="24"/>
                <w:lang w:val="en-US" w:eastAsia="en-US"/>
              </w:rPr>
            </w:pPr>
            <w:r>
              <w:rPr>
                <w:rFonts w:ascii="Times New Roman" w:hAnsi="Times New Roman"/>
                <w:noProof/>
                <w:sz w:val="24"/>
                <w:szCs w:val="24"/>
                <w:lang w:val="en-US"/>
              </w:rPr>
              <w:t> </w:t>
            </w:r>
          </w:p>
        </w:tc>
      </w:tr>
    </w:tbl>
    <w:p w:rsidR="000E14A2" w:rsidRDefault="000E14A2" w:rsidP="00CC2D11">
      <w:pPr>
        <w:shd w:val="clear" w:color="auto" w:fill="FFFFFF"/>
        <w:spacing w:after="0" w:line="240" w:lineRule="auto"/>
        <w:ind w:firstLine="475"/>
        <w:jc w:val="both"/>
        <w:rPr>
          <w:rFonts w:ascii="Times New Roman" w:eastAsia="Times New Roman" w:hAnsi="Times New Roman" w:cs="Times New Roman"/>
          <w:sz w:val="28"/>
          <w:szCs w:val="28"/>
        </w:rPr>
      </w:pPr>
    </w:p>
    <w:sectPr w:rsidR="000E14A2" w:rsidSect="00EE4C71">
      <w:pgSz w:w="11906" w:h="16838"/>
      <w:pgMar w:top="0" w:right="850" w:bottom="851"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22715"/>
    <w:multiLevelType w:val="hybridMultilevel"/>
    <w:tmpl w:val="6BF07780"/>
    <w:lvl w:ilvl="0" w:tplc="58A04B68">
      <w:start w:val="2"/>
      <w:numFmt w:val="bullet"/>
      <w:lvlText w:val="-"/>
      <w:lvlJc w:val="left"/>
      <w:pPr>
        <w:ind w:left="835" w:hanging="360"/>
      </w:pPr>
      <w:rPr>
        <w:rFonts w:ascii="Times New Roman" w:eastAsia="Times New Roman" w:hAnsi="Times New Roman" w:cs="Times New Roman" w:hint="default"/>
      </w:rPr>
    </w:lvl>
    <w:lvl w:ilvl="1" w:tplc="04220003" w:tentative="1">
      <w:start w:val="1"/>
      <w:numFmt w:val="bullet"/>
      <w:lvlText w:val="o"/>
      <w:lvlJc w:val="left"/>
      <w:pPr>
        <w:ind w:left="1555" w:hanging="360"/>
      </w:pPr>
      <w:rPr>
        <w:rFonts w:ascii="Courier New" w:hAnsi="Courier New" w:cs="Courier New" w:hint="default"/>
      </w:rPr>
    </w:lvl>
    <w:lvl w:ilvl="2" w:tplc="04220005" w:tentative="1">
      <w:start w:val="1"/>
      <w:numFmt w:val="bullet"/>
      <w:lvlText w:val=""/>
      <w:lvlJc w:val="left"/>
      <w:pPr>
        <w:ind w:left="2275" w:hanging="360"/>
      </w:pPr>
      <w:rPr>
        <w:rFonts w:ascii="Wingdings" w:hAnsi="Wingdings" w:hint="default"/>
      </w:rPr>
    </w:lvl>
    <w:lvl w:ilvl="3" w:tplc="04220001" w:tentative="1">
      <w:start w:val="1"/>
      <w:numFmt w:val="bullet"/>
      <w:lvlText w:val=""/>
      <w:lvlJc w:val="left"/>
      <w:pPr>
        <w:ind w:left="2995" w:hanging="360"/>
      </w:pPr>
      <w:rPr>
        <w:rFonts w:ascii="Symbol" w:hAnsi="Symbol" w:hint="default"/>
      </w:rPr>
    </w:lvl>
    <w:lvl w:ilvl="4" w:tplc="04220003" w:tentative="1">
      <w:start w:val="1"/>
      <w:numFmt w:val="bullet"/>
      <w:lvlText w:val="o"/>
      <w:lvlJc w:val="left"/>
      <w:pPr>
        <w:ind w:left="3715" w:hanging="360"/>
      </w:pPr>
      <w:rPr>
        <w:rFonts w:ascii="Courier New" w:hAnsi="Courier New" w:cs="Courier New" w:hint="default"/>
      </w:rPr>
    </w:lvl>
    <w:lvl w:ilvl="5" w:tplc="04220005" w:tentative="1">
      <w:start w:val="1"/>
      <w:numFmt w:val="bullet"/>
      <w:lvlText w:val=""/>
      <w:lvlJc w:val="left"/>
      <w:pPr>
        <w:ind w:left="4435" w:hanging="360"/>
      </w:pPr>
      <w:rPr>
        <w:rFonts w:ascii="Wingdings" w:hAnsi="Wingdings" w:hint="default"/>
      </w:rPr>
    </w:lvl>
    <w:lvl w:ilvl="6" w:tplc="04220001" w:tentative="1">
      <w:start w:val="1"/>
      <w:numFmt w:val="bullet"/>
      <w:lvlText w:val=""/>
      <w:lvlJc w:val="left"/>
      <w:pPr>
        <w:ind w:left="5155" w:hanging="360"/>
      </w:pPr>
      <w:rPr>
        <w:rFonts w:ascii="Symbol" w:hAnsi="Symbol" w:hint="default"/>
      </w:rPr>
    </w:lvl>
    <w:lvl w:ilvl="7" w:tplc="04220003" w:tentative="1">
      <w:start w:val="1"/>
      <w:numFmt w:val="bullet"/>
      <w:lvlText w:val="o"/>
      <w:lvlJc w:val="left"/>
      <w:pPr>
        <w:ind w:left="5875" w:hanging="360"/>
      </w:pPr>
      <w:rPr>
        <w:rFonts w:ascii="Courier New" w:hAnsi="Courier New" w:cs="Courier New" w:hint="default"/>
      </w:rPr>
    </w:lvl>
    <w:lvl w:ilvl="8" w:tplc="04220005" w:tentative="1">
      <w:start w:val="1"/>
      <w:numFmt w:val="bullet"/>
      <w:lvlText w:val=""/>
      <w:lvlJc w:val="left"/>
      <w:pPr>
        <w:ind w:left="6595" w:hanging="360"/>
      </w:pPr>
      <w:rPr>
        <w:rFonts w:ascii="Wingdings" w:hAnsi="Wingdings" w:hint="default"/>
      </w:rPr>
    </w:lvl>
  </w:abstractNum>
  <w:abstractNum w:abstractNumId="1">
    <w:nsid w:val="502E2B53"/>
    <w:multiLevelType w:val="multilevel"/>
    <w:tmpl w:val="CF709790"/>
    <w:lvl w:ilvl="0">
      <w:start w:val="1"/>
      <w:numFmt w:val="decimal"/>
      <w:lvlText w:val="%1."/>
      <w:lvlJc w:val="left"/>
      <w:pPr>
        <w:ind w:left="1684" w:hanging="97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4A2"/>
    <w:rsid w:val="00052E9A"/>
    <w:rsid w:val="00072A37"/>
    <w:rsid w:val="000911EE"/>
    <w:rsid w:val="00096354"/>
    <w:rsid w:val="000D50BF"/>
    <w:rsid w:val="000E14A2"/>
    <w:rsid w:val="000F716C"/>
    <w:rsid w:val="001272D6"/>
    <w:rsid w:val="0013356A"/>
    <w:rsid w:val="0014209E"/>
    <w:rsid w:val="001B40B7"/>
    <w:rsid w:val="001F3F5B"/>
    <w:rsid w:val="00225E8C"/>
    <w:rsid w:val="00240F17"/>
    <w:rsid w:val="0024489E"/>
    <w:rsid w:val="00272C8E"/>
    <w:rsid w:val="00282496"/>
    <w:rsid w:val="002C4F6A"/>
    <w:rsid w:val="003369A8"/>
    <w:rsid w:val="00346F5D"/>
    <w:rsid w:val="00352213"/>
    <w:rsid w:val="003830FB"/>
    <w:rsid w:val="003B6871"/>
    <w:rsid w:val="003C0A25"/>
    <w:rsid w:val="0043607C"/>
    <w:rsid w:val="0046592D"/>
    <w:rsid w:val="00490076"/>
    <w:rsid w:val="004D780C"/>
    <w:rsid w:val="00531DE2"/>
    <w:rsid w:val="00540EB2"/>
    <w:rsid w:val="005D3E94"/>
    <w:rsid w:val="00635353"/>
    <w:rsid w:val="006E0A97"/>
    <w:rsid w:val="00723358"/>
    <w:rsid w:val="007237CA"/>
    <w:rsid w:val="00772FAE"/>
    <w:rsid w:val="007C1D5B"/>
    <w:rsid w:val="008608C4"/>
    <w:rsid w:val="00865349"/>
    <w:rsid w:val="00872156"/>
    <w:rsid w:val="008744BA"/>
    <w:rsid w:val="008A35FD"/>
    <w:rsid w:val="008C5240"/>
    <w:rsid w:val="00904D8F"/>
    <w:rsid w:val="00917934"/>
    <w:rsid w:val="009207B8"/>
    <w:rsid w:val="00950A9D"/>
    <w:rsid w:val="00955C31"/>
    <w:rsid w:val="009D5A32"/>
    <w:rsid w:val="00A01CB8"/>
    <w:rsid w:val="00A40606"/>
    <w:rsid w:val="00A64BB3"/>
    <w:rsid w:val="00A736E6"/>
    <w:rsid w:val="00AB4094"/>
    <w:rsid w:val="00B53A67"/>
    <w:rsid w:val="00BB2EDE"/>
    <w:rsid w:val="00BE3551"/>
    <w:rsid w:val="00C006F4"/>
    <w:rsid w:val="00C11F96"/>
    <w:rsid w:val="00C172B8"/>
    <w:rsid w:val="00C45627"/>
    <w:rsid w:val="00C74D57"/>
    <w:rsid w:val="00C80464"/>
    <w:rsid w:val="00C914A1"/>
    <w:rsid w:val="00CC2D11"/>
    <w:rsid w:val="00CE5AFC"/>
    <w:rsid w:val="00CF0EC9"/>
    <w:rsid w:val="00CF6622"/>
    <w:rsid w:val="00D217A6"/>
    <w:rsid w:val="00D33711"/>
    <w:rsid w:val="00D5718E"/>
    <w:rsid w:val="00D73552"/>
    <w:rsid w:val="00D9092E"/>
    <w:rsid w:val="00DF3F45"/>
    <w:rsid w:val="00E13488"/>
    <w:rsid w:val="00E52B6A"/>
    <w:rsid w:val="00E64BCE"/>
    <w:rsid w:val="00E973A1"/>
    <w:rsid w:val="00EB6621"/>
    <w:rsid w:val="00EE4C71"/>
    <w:rsid w:val="00EF4C4A"/>
    <w:rsid w:val="00EF5E60"/>
    <w:rsid w:val="00F27E52"/>
    <w:rsid w:val="00F34B64"/>
    <w:rsid w:val="00F92735"/>
    <w:rsid w:val="00FC286C"/>
    <w:rsid w:val="00FC5AE2"/>
    <w:rsid w:val="00FD3BD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60" w:type="dxa"/>
        <w:left w:w="60" w:type="dxa"/>
        <w:bottom w:w="60" w:type="dxa"/>
        <w:right w:w="60" w:type="dxa"/>
      </w:tblCellMar>
    </w:tblPr>
  </w:style>
  <w:style w:type="table" w:customStyle="1" w:styleId="a6">
    <w:basedOn w:val="TableNormal"/>
    <w:tblPr>
      <w:tblStyleRowBandSize w:val="1"/>
      <w:tblStyleColBandSize w:val="1"/>
      <w:tblCellMar>
        <w:top w:w="60" w:type="dxa"/>
        <w:left w:w="60" w:type="dxa"/>
        <w:bottom w:w="60" w:type="dxa"/>
        <w:right w:w="60" w:type="dxa"/>
      </w:tblCellMar>
    </w:tblPr>
  </w:style>
  <w:style w:type="table" w:customStyle="1" w:styleId="a7">
    <w:basedOn w:val="TableNormal"/>
    <w:tblPr>
      <w:tblStyleRowBandSize w:val="1"/>
      <w:tblStyleColBandSize w:val="1"/>
      <w:tblCellMar>
        <w:top w:w="60" w:type="dxa"/>
        <w:left w:w="60" w:type="dxa"/>
        <w:bottom w:w="60" w:type="dxa"/>
        <w:right w:w="60" w:type="dxa"/>
      </w:tblCellMar>
    </w:tblPr>
  </w:style>
  <w:style w:type="table" w:customStyle="1" w:styleId="a8">
    <w:basedOn w:val="TableNormal"/>
    <w:tblPr>
      <w:tblStyleRowBandSize w:val="1"/>
      <w:tblStyleColBandSize w:val="1"/>
      <w:tblCellMar>
        <w:top w:w="60" w:type="dxa"/>
        <w:left w:w="60" w:type="dxa"/>
        <w:bottom w:w="60" w:type="dxa"/>
        <w:right w:w="60" w:type="dxa"/>
      </w:tblCellMar>
    </w:tblPr>
  </w:style>
  <w:style w:type="table" w:customStyle="1" w:styleId="a9">
    <w:basedOn w:val="TableNormal"/>
    <w:tblPr>
      <w:tblStyleRowBandSize w:val="1"/>
      <w:tblStyleColBandSize w:val="1"/>
      <w:tblCellMar>
        <w:top w:w="60" w:type="dxa"/>
        <w:left w:w="60" w:type="dxa"/>
        <w:bottom w:w="60" w:type="dxa"/>
        <w:right w:w="60" w:type="dxa"/>
      </w:tblCellMar>
    </w:tblPr>
  </w:style>
  <w:style w:type="table" w:customStyle="1" w:styleId="aa">
    <w:basedOn w:val="TableNormal"/>
    <w:tblPr>
      <w:tblStyleRowBandSize w:val="1"/>
      <w:tblStyleColBandSize w:val="1"/>
      <w:tblCellMar>
        <w:top w:w="60" w:type="dxa"/>
        <w:left w:w="60" w:type="dxa"/>
        <w:bottom w:w="60" w:type="dxa"/>
        <w:right w:w="60" w:type="dxa"/>
      </w:tblCellMar>
    </w:tblPr>
  </w:style>
  <w:style w:type="table" w:customStyle="1" w:styleId="ab">
    <w:basedOn w:val="TableNormal"/>
    <w:tblPr>
      <w:tblStyleRowBandSize w:val="1"/>
      <w:tblStyleColBandSize w:val="1"/>
      <w:tblCellMar>
        <w:top w:w="0" w:type="dxa"/>
        <w:left w:w="0" w:type="dxa"/>
        <w:bottom w:w="0" w:type="dxa"/>
        <w:right w:w="0" w:type="dxa"/>
      </w:tblCellMar>
    </w:tblPr>
  </w:style>
  <w:style w:type="table" w:customStyle="1" w:styleId="ac">
    <w:basedOn w:val="TableNormal"/>
    <w:tblPr>
      <w:tblStyleRowBandSize w:val="1"/>
      <w:tblStyleColBandSize w:val="1"/>
      <w:tblCellMar>
        <w:top w:w="60" w:type="dxa"/>
        <w:left w:w="60" w:type="dxa"/>
        <w:bottom w:w="60" w:type="dxa"/>
        <w:right w:w="60" w:type="dxa"/>
      </w:tblCellMar>
    </w:tblPr>
  </w:style>
  <w:style w:type="table" w:customStyle="1" w:styleId="ad">
    <w:basedOn w:val="TableNormal"/>
    <w:tblPr>
      <w:tblStyleRowBandSize w:val="1"/>
      <w:tblStyleColBandSize w:val="1"/>
      <w:tblCellMar>
        <w:top w:w="0" w:type="dxa"/>
        <w:left w:w="0" w:type="dxa"/>
        <w:bottom w:w="0" w:type="dxa"/>
        <w:right w:w="0"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paragraph" w:styleId="af">
    <w:name w:val="Balloon Text"/>
    <w:basedOn w:val="a"/>
    <w:link w:val="af0"/>
    <w:uiPriority w:val="99"/>
    <w:semiHidden/>
    <w:unhideWhenUsed/>
    <w:rsid w:val="00F27E52"/>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27E52"/>
    <w:rPr>
      <w:rFonts w:ascii="Tahoma" w:hAnsi="Tahoma" w:cs="Tahoma"/>
      <w:sz w:val="16"/>
      <w:szCs w:val="16"/>
    </w:rPr>
  </w:style>
  <w:style w:type="paragraph" w:styleId="af1">
    <w:name w:val="List Paragraph"/>
    <w:basedOn w:val="a"/>
    <w:uiPriority w:val="34"/>
    <w:qFormat/>
    <w:rsid w:val="00240F17"/>
    <w:pPr>
      <w:ind w:left="720"/>
      <w:contextualSpacing/>
    </w:pPr>
  </w:style>
  <w:style w:type="paragraph" w:customStyle="1" w:styleId="rvps2">
    <w:name w:val="rvps2"/>
    <w:basedOn w:val="a"/>
    <w:rsid w:val="00346F5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2">
    <w:name w:val="Hyperlink"/>
    <w:basedOn w:val="a0"/>
    <w:uiPriority w:val="99"/>
    <w:unhideWhenUsed/>
    <w:rsid w:val="00772FAE"/>
    <w:rPr>
      <w:color w:val="0000FF"/>
      <w:u w:val="single"/>
    </w:rPr>
  </w:style>
  <w:style w:type="character" w:customStyle="1" w:styleId="hard-blue-color">
    <w:name w:val="hard-blue-color"/>
    <w:basedOn w:val="a0"/>
    <w:rsid w:val="00772FAE"/>
  </w:style>
  <w:style w:type="paragraph" w:customStyle="1" w:styleId="rvps14">
    <w:name w:val="rvps14"/>
    <w:basedOn w:val="a"/>
    <w:rsid w:val="00E64BC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2">
    <w:name w:val="rvps12"/>
    <w:basedOn w:val="a"/>
    <w:rsid w:val="00E64BCE"/>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60" w:type="dxa"/>
        <w:left w:w="60" w:type="dxa"/>
        <w:bottom w:w="60" w:type="dxa"/>
        <w:right w:w="60" w:type="dxa"/>
      </w:tblCellMar>
    </w:tblPr>
  </w:style>
  <w:style w:type="table" w:customStyle="1" w:styleId="a6">
    <w:basedOn w:val="TableNormal"/>
    <w:tblPr>
      <w:tblStyleRowBandSize w:val="1"/>
      <w:tblStyleColBandSize w:val="1"/>
      <w:tblCellMar>
        <w:top w:w="60" w:type="dxa"/>
        <w:left w:w="60" w:type="dxa"/>
        <w:bottom w:w="60" w:type="dxa"/>
        <w:right w:w="60" w:type="dxa"/>
      </w:tblCellMar>
    </w:tblPr>
  </w:style>
  <w:style w:type="table" w:customStyle="1" w:styleId="a7">
    <w:basedOn w:val="TableNormal"/>
    <w:tblPr>
      <w:tblStyleRowBandSize w:val="1"/>
      <w:tblStyleColBandSize w:val="1"/>
      <w:tblCellMar>
        <w:top w:w="60" w:type="dxa"/>
        <w:left w:w="60" w:type="dxa"/>
        <w:bottom w:w="60" w:type="dxa"/>
        <w:right w:w="60" w:type="dxa"/>
      </w:tblCellMar>
    </w:tblPr>
  </w:style>
  <w:style w:type="table" w:customStyle="1" w:styleId="a8">
    <w:basedOn w:val="TableNormal"/>
    <w:tblPr>
      <w:tblStyleRowBandSize w:val="1"/>
      <w:tblStyleColBandSize w:val="1"/>
      <w:tblCellMar>
        <w:top w:w="60" w:type="dxa"/>
        <w:left w:w="60" w:type="dxa"/>
        <w:bottom w:w="60" w:type="dxa"/>
        <w:right w:w="60" w:type="dxa"/>
      </w:tblCellMar>
    </w:tblPr>
  </w:style>
  <w:style w:type="table" w:customStyle="1" w:styleId="a9">
    <w:basedOn w:val="TableNormal"/>
    <w:tblPr>
      <w:tblStyleRowBandSize w:val="1"/>
      <w:tblStyleColBandSize w:val="1"/>
      <w:tblCellMar>
        <w:top w:w="60" w:type="dxa"/>
        <w:left w:w="60" w:type="dxa"/>
        <w:bottom w:w="60" w:type="dxa"/>
        <w:right w:w="60" w:type="dxa"/>
      </w:tblCellMar>
    </w:tblPr>
  </w:style>
  <w:style w:type="table" w:customStyle="1" w:styleId="aa">
    <w:basedOn w:val="TableNormal"/>
    <w:tblPr>
      <w:tblStyleRowBandSize w:val="1"/>
      <w:tblStyleColBandSize w:val="1"/>
      <w:tblCellMar>
        <w:top w:w="60" w:type="dxa"/>
        <w:left w:w="60" w:type="dxa"/>
        <w:bottom w:w="60" w:type="dxa"/>
        <w:right w:w="60" w:type="dxa"/>
      </w:tblCellMar>
    </w:tblPr>
  </w:style>
  <w:style w:type="table" w:customStyle="1" w:styleId="ab">
    <w:basedOn w:val="TableNormal"/>
    <w:tblPr>
      <w:tblStyleRowBandSize w:val="1"/>
      <w:tblStyleColBandSize w:val="1"/>
      <w:tblCellMar>
        <w:top w:w="0" w:type="dxa"/>
        <w:left w:w="0" w:type="dxa"/>
        <w:bottom w:w="0" w:type="dxa"/>
        <w:right w:w="0" w:type="dxa"/>
      </w:tblCellMar>
    </w:tblPr>
  </w:style>
  <w:style w:type="table" w:customStyle="1" w:styleId="ac">
    <w:basedOn w:val="TableNormal"/>
    <w:tblPr>
      <w:tblStyleRowBandSize w:val="1"/>
      <w:tblStyleColBandSize w:val="1"/>
      <w:tblCellMar>
        <w:top w:w="60" w:type="dxa"/>
        <w:left w:w="60" w:type="dxa"/>
        <w:bottom w:w="60" w:type="dxa"/>
        <w:right w:w="60" w:type="dxa"/>
      </w:tblCellMar>
    </w:tblPr>
  </w:style>
  <w:style w:type="table" w:customStyle="1" w:styleId="ad">
    <w:basedOn w:val="TableNormal"/>
    <w:tblPr>
      <w:tblStyleRowBandSize w:val="1"/>
      <w:tblStyleColBandSize w:val="1"/>
      <w:tblCellMar>
        <w:top w:w="0" w:type="dxa"/>
        <w:left w:w="0" w:type="dxa"/>
        <w:bottom w:w="0" w:type="dxa"/>
        <w:right w:w="0"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paragraph" w:styleId="af">
    <w:name w:val="Balloon Text"/>
    <w:basedOn w:val="a"/>
    <w:link w:val="af0"/>
    <w:uiPriority w:val="99"/>
    <w:semiHidden/>
    <w:unhideWhenUsed/>
    <w:rsid w:val="00F27E52"/>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27E52"/>
    <w:rPr>
      <w:rFonts w:ascii="Tahoma" w:hAnsi="Tahoma" w:cs="Tahoma"/>
      <w:sz w:val="16"/>
      <w:szCs w:val="16"/>
    </w:rPr>
  </w:style>
  <w:style w:type="paragraph" w:styleId="af1">
    <w:name w:val="List Paragraph"/>
    <w:basedOn w:val="a"/>
    <w:uiPriority w:val="34"/>
    <w:qFormat/>
    <w:rsid w:val="00240F17"/>
    <w:pPr>
      <w:ind w:left="720"/>
      <w:contextualSpacing/>
    </w:pPr>
  </w:style>
  <w:style w:type="paragraph" w:customStyle="1" w:styleId="rvps2">
    <w:name w:val="rvps2"/>
    <w:basedOn w:val="a"/>
    <w:rsid w:val="00346F5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2">
    <w:name w:val="Hyperlink"/>
    <w:basedOn w:val="a0"/>
    <w:uiPriority w:val="99"/>
    <w:unhideWhenUsed/>
    <w:rsid w:val="00772FAE"/>
    <w:rPr>
      <w:color w:val="0000FF"/>
      <w:u w:val="single"/>
    </w:rPr>
  </w:style>
  <w:style w:type="character" w:customStyle="1" w:styleId="hard-blue-color">
    <w:name w:val="hard-blue-color"/>
    <w:basedOn w:val="a0"/>
    <w:rsid w:val="00772FAE"/>
  </w:style>
  <w:style w:type="paragraph" w:customStyle="1" w:styleId="rvps14">
    <w:name w:val="rvps14"/>
    <w:basedOn w:val="a"/>
    <w:rsid w:val="00E64BC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2">
    <w:name w:val="rvps12"/>
    <w:basedOn w:val="a"/>
    <w:rsid w:val="00E64BCE"/>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2193419">
      <w:bodyDiv w:val="1"/>
      <w:marLeft w:val="0"/>
      <w:marRight w:val="0"/>
      <w:marTop w:val="0"/>
      <w:marBottom w:val="0"/>
      <w:divBdr>
        <w:top w:val="none" w:sz="0" w:space="0" w:color="auto"/>
        <w:left w:val="none" w:sz="0" w:space="0" w:color="auto"/>
        <w:bottom w:val="none" w:sz="0" w:space="0" w:color="auto"/>
        <w:right w:val="none" w:sz="0" w:space="0" w:color="auto"/>
      </w:divBdr>
    </w:div>
    <w:div w:id="587858428">
      <w:bodyDiv w:val="1"/>
      <w:marLeft w:val="0"/>
      <w:marRight w:val="0"/>
      <w:marTop w:val="0"/>
      <w:marBottom w:val="0"/>
      <w:divBdr>
        <w:top w:val="none" w:sz="0" w:space="0" w:color="auto"/>
        <w:left w:val="none" w:sz="0" w:space="0" w:color="auto"/>
        <w:bottom w:val="none" w:sz="0" w:space="0" w:color="auto"/>
        <w:right w:val="none" w:sz="0" w:space="0" w:color="auto"/>
      </w:divBdr>
    </w:div>
    <w:div w:id="672955303">
      <w:bodyDiv w:val="1"/>
      <w:marLeft w:val="0"/>
      <w:marRight w:val="0"/>
      <w:marTop w:val="0"/>
      <w:marBottom w:val="0"/>
      <w:divBdr>
        <w:top w:val="none" w:sz="0" w:space="0" w:color="auto"/>
        <w:left w:val="none" w:sz="0" w:space="0" w:color="auto"/>
        <w:bottom w:val="none" w:sz="0" w:space="0" w:color="auto"/>
        <w:right w:val="none" w:sz="0" w:space="0" w:color="auto"/>
      </w:divBdr>
    </w:div>
    <w:div w:id="780300308">
      <w:bodyDiv w:val="1"/>
      <w:marLeft w:val="0"/>
      <w:marRight w:val="0"/>
      <w:marTop w:val="0"/>
      <w:marBottom w:val="0"/>
      <w:divBdr>
        <w:top w:val="none" w:sz="0" w:space="0" w:color="auto"/>
        <w:left w:val="none" w:sz="0" w:space="0" w:color="auto"/>
        <w:bottom w:val="none" w:sz="0" w:space="0" w:color="auto"/>
        <w:right w:val="none" w:sz="0" w:space="0" w:color="auto"/>
      </w:divBdr>
    </w:div>
    <w:div w:id="859051793">
      <w:bodyDiv w:val="1"/>
      <w:marLeft w:val="0"/>
      <w:marRight w:val="0"/>
      <w:marTop w:val="0"/>
      <w:marBottom w:val="0"/>
      <w:divBdr>
        <w:top w:val="none" w:sz="0" w:space="0" w:color="auto"/>
        <w:left w:val="none" w:sz="0" w:space="0" w:color="auto"/>
        <w:bottom w:val="none" w:sz="0" w:space="0" w:color="auto"/>
        <w:right w:val="none" w:sz="0" w:space="0" w:color="auto"/>
      </w:divBdr>
    </w:div>
    <w:div w:id="960919708">
      <w:bodyDiv w:val="1"/>
      <w:marLeft w:val="0"/>
      <w:marRight w:val="0"/>
      <w:marTop w:val="0"/>
      <w:marBottom w:val="0"/>
      <w:divBdr>
        <w:top w:val="none" w:sz="0" w:space="0" w:color="auto"/>
        <w:left w:val="none" w:sz="0" w:space="0" w:color="auto"/>
        <w:bottom w:val="none" w:sz="0" w:space="0" w:color="auto"/>
        <w:right w:val="none" w:sz="0" w:space="0" w:color="auto"/>
      </w:divBdr>
      <w:divsChild>
        <w:div w:id="2038238226">
          <w:marLeft w:val="0"/>
          <w:marRight w:val="0"/>
          <w:marTop w:val="0"/>
          <w:marBottom w:val="150"/>
          <w:divBdr>
            <w:top w:val="none" w:sz="0" w:space="0" w:color="auto"/>
            <w:left w:val="none" w:sz="0" w:space="0" w:color="auto"/>
            <w:bottom w:val="none" w:sz="0" w:space="0" w:color="auto"/>
            <w:right w:val="none" w:sz="0" w:space="0" w:color="auto"/>
          </w:divBdr>
        </w:div>
        <w:div w:id="874848063">
          <w:marLeft w:val="0"/>
          <w:marRight w:val="0"/>
          <w:marTop w:val="150"/>
          <w:marBottom w:val="150"/>
          <w:divBdr>
            <w:top w:val="none" w:sz="0" w:space="0" w:color="auto"/>
            <w:left w:val="none" w:sz="0" w:space="0" w:color="auto"/>
            <w:bottom w:val="none" w:sz="0" w:space="0" w:color="auto"/>
            <w:right w:val="none" w:sz="0" w:space="0" w:color="auto"/>
          </w:divBdr>
        </w:div>
      </w:divsChild>
    </w:div>
    <w:div w:id="1128166318">
      <w:bodyDiv w:val="1"/>
      <w:marLeft w:val="0"/>
      <w:marRight w:val="0"/>
      <w:marTop w:val="0"/>
      <w:marBottom w:val="0"/>
      <w:divBdr>
        <w:top w:val="none" w:sz="0" w:space="0" w:color="auto"/>
        <w:left w:val="none" w:sz="0" w:space="0" w:color="auto"/>
        <w:bottom w:val="none" w:sz="0" w:space="0" w:color="auto"/>
        <w:right w:val="none" w:sz="0" w:space="0" w:color="auto"/>
      </w:divBdr>
    </w:div>
    <w:div w:id="21000528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zakon.rada.gov.ua/laws/show/157-20" TargetMode="External"/><Relationship Id="rId18" Type="http://schemas.openxmlformats.org/officeDocument/2006/relationships/image" Target="media/image8.png"/><Relationship Id="rId26" Type="http://schemas.openxmlformats.org/officeDocument/2006/relationships/image" Target="media/image16.png"/><Relationship Id="rId3" Type="http://schemas.microsoft.com/office/2007/relationships/stylesWithEffects" Target="stylesWithEffects.xml"/><Relationship Id="rId21" Type="http://schemas.openxmlformats.org/officeDocument/2006/relationships/image" Target="media/image11.png"/><Relationship Id="rId34" Type="http://schemas.openxmlformats.org/officeDocument/2006/relationships/hyperlink" Target="https://zakon.rada.gov.ua/laws/show/630-2021-%D0%BF" TargetMode="External"/><Relationship Id="rId7" Type="http://schemas.openxmlformats.org/officeDocument/2006/relationships/hyperlink" Target="https://zakon.rada.gov.ua/laws/show/630-2021-%D0%BF" TargetMode="External"/><Relationship Id="rId12" Type="http://schemas.openxmlformats.org/officeDocument/2006/relationships/hyperlink" Target="https://zakon.rada.gov.ua/laws/show/630-2021-%D0%BF" TargetMode="Externa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s://zakon.rada.gov.ua/laws/show/630-2021-%D0%BF"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image" Target="media/image14.png"/><Relationship Id="rId32" Type="http://schemas.openxmlformats.org/officeDocument/2006/relationships/hyperlink" Target="https://zakon.rada.gov.ua/laws/show/630-2021-%D0%BF" TargetMode="External"/><Relationship Id="rId5" Type="http://schemas.openxmlformats.org/officeDocument/2006/relationships/webSettings" Target="webSettings.xml"/><Relationship Id="rId15" Type="http://schemas.openxmlformats.org/officeDocument/2006/relationships/hyperlink" Target="https://zakon.rada.gov.ua/laws/show/630-2021-%D0%BF" TargetMode="External"/><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9.png"/><Relationship Id="rId31" Type="http://schemas.openxmlformats.org/officeDocument/2006/relationships/hyperlink" Target="https://ips.ligazakon.net/document/view/t192671?ed=2022_04_14"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zakon.rada.gov.ua/laws/show/630-2021-%D0%BF" TargetMode="External"/><Relationship Id="rId22" Type="http://schemas.openxmlformats.org/officeDocument/2006/relationships/image" Target="media/image12.png"/><Relationship Id="rId27" Type="http://schemas.openxmlformats.org/officeDocument/2006/relationships/hyperlink" Target="https://zakon.rada.gov.ua/laws/show/630-2021-%D0%BF" TargetMode="External"/><Relationship Id="rId30" Type="http://schemas.openxmlformats.org/officeDocument/2006/relationships/hyperlink" Target="https://zakon.rada.gov.ua/laws/show/630-2021-%D0%BF"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341</TotalTime>
  <Pages>1</Pages>
  <Words>21439</Words>
  <Characters>12221</Characters>
  <Application>Microsoft Office Word</Application>
  <DocSecurity>0</DocSecurity>
  <Lines>101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69</cp:revision>
  <cp:lastPrinted>2025-04-04T09:31:00Z</cp:lastPrinted>
  <dcterms:created xsi:type="dcterms:W3CDTF">2023-10-16T07:06:00Z</dcterms:created>
  <dcterms:modified xsi:type="dcterms:W3CDTF">2025-04-04T09:32:00Z</dcterms:modified>
</cp:coreProperties>
</file>